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D5207" w14:textId="77777777" w:rsidR="001C3B05" w:rsidRDefault="001C3B05"/>
    <w:p w14:paraId="67A94508" w14:textId="3F9DAC4F" w:rsidR="001518B7" w:rsidRPr="004E4F1D" w:rsidRDefault="001C1285" w:rsidP="001518B7">
      <w:pPr>
        <w:jc w:val="center"/>
        <w:rPr>
          <w:b/>
          <w:bCs/>
          <w:sz w:val="28"/>
          <w:szCs w:val="24"/>
        </w:rPr>
      </w:pPr>
      <w:r>
        <w:rPr>
          <w:b/>
          <w:bCs/>
          <w:sz w:val="28"/>
          <w:szCs w:val="24"/>
        </w:rPr>
        <w:t xml:space="preserve">CERTIFIED CREDIT PROFESSIONAL </w:t>
      </w:r>
    </w:p>
    <w:tbl>
      <w:tblPr>
        <w:tblW w:w="5000" w:type="pct"/>
        <w:tblLook w:val="04A0" w:firstRow="1" w:lastRow="0" w:firstColumn="1" w:lastColumn="0" w:noHBand="0" w:noVBand="1"/>
      </w:tblPr>
      <w:tblGrid>
        <w:gridCol w:w="775"/>
        <w:gridCol w:w="8241"/>
      </w:tblGrid>
      <w:tr w:rsidR="005A604C" w:rsidRPr="005A604C" w14:paraId="1C2A3D23" w14:textId="77777777" w:rsidTr="005A604C">
        <w:trPr>
          <w:trHeight w:val="630"/>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B4D90" w14:textId="0CF78764" w:rsidR="005A604C" w:rsidRPr="005A604C" w:rsidRDefault="005A604C" w:rsidP="00200153">
            <w:pPr>
              <w:spacing w:after="0" w:line="240" w:lineRule="auto"/>
              <w:jc w:val="center"/>
              <w:rPr>
                <w:rFonts w:ascii="Calibri" w:eastAsia="Times New Roman" w:hAnsi="Calibri" w:cs="Calibri"/>
                <w:b/>
                <w:bCs/>
                <w:color w:val="000000"/>
                <w:kern w:val="0"/>
                <w:sz w:val="24"/>
                <w:szCs w:val="24"/>
                <w:lang w:eastAsia="en-IN"/>
                <w14:ligatures w14:val="none"/>
              </w:rPr>
            </w:pPr>
            <w:r w:rsidRPr="005A604C">
              <w:rPr>
                <w:rFonts w:ascii="Calibri" w:eastAsia="Times New Roman" w:hAnsi="Calibri" w:cs="Calibri"/>
                <w:b/>
                <w:bCs/>
                <w:color w:val="000000"/>
                <w:kern w:val="0"/>
                <w:sz w:val="24"/>
                <w:szCs w:val="24"/>
                <w:lang w:eastAsia="en-IN"/>
                <w14:ligatures w14:val="none"/>
              </w:rPr>
              <w:t>S</w:t>
            </w:r>
            <w:r w:rsidR="00200153">
              <w:rPr>
                <w:rFonts w:ascii="Calibri" w:eastAsia="Times New Roman" w:hAnsi="Calibri" w:cs="Calibri"/>
                <w:b/>
                <w:bCs/>
                <w:color w:val="000000"/>
                <w:kern w:val="0"/>
                <w:sz w:val="24"/>
                <w:szCs w:val="24"/>
                <w:lang w:eastAsia="en-IN"/>
                <w14:ligatures w14:val="none"/>
              </w:rPr>
              <w:t>l</w:t>
            </w:r>
            <w:r w:rsidRPr="005A604C">
              <w:rPr>
                <w:rFonts w:ascii="Calibri" w:eastAsia="Times New Roman" w:hAnsi="Calibri" w:cs="Calibri"/>
                <w:b/>
                <w:bCs/>
                <w:color w:val="000000"/>
                <w:kern w:val="0"/>
                <w:sz w:val="24"/>
                <w:szCs w:val="24"/>
                <w:lang w:eastAsia="en-IN"/>
                <w14:ligatures w14:val="none"/>
              </w:rPr>
              <w:t>.no.</w:t>
            </w:r>
          </w:p>
        </w:tc>
        <w:tc>
          <w:tcPr>
            <w:tcW w:w="4669" w:type="pct"/>
            <w:tcBorders>
              <w:top w:val="single" w:sz="4" w:space="0" w:color="auto"/>
              <w:left w:val="nil"/>
              <w:bottom w:val="single" w:sz="4" w:space="0" w:color="auto"/>
              <w:right w:val="single" w:sz="4" w:space="0" w:color="auto"/>
            </w:tcBorders>
            <w:shd w:val="clear" w:color="auto" w:fill="auto"/>
            <w:vAlign w:val="center"/>
            <w:hideMark/>
          </w:tcPr>
          <w:p w14:paraId="1ABB3D45" w14:textId="77777777" w:rsidR="005A604C" w:rsidRPr="005A604C" w:rsidRDefault="005A604C" w:rsidP="00200153">
            <w:pPr>
              <w:spacing w:after="0" w:line="240" w:lineRule="auto"/>
              <w:jc w:val="center"/>
              <w:rPr>
                <w:rFonts w:ascii="Calibri" w:eastAsia="Times New Roman" w:hAnsi="Calibri" w:cs="Calibri"/>
                <w:b/>
                <w:bCs/>
                <w:color w:val="000000"/>
                <w:kern w:val="0"/>
                <w:sz w:val="24"/>
                <w:szCs w:val="24"/>
                <w:lang w:eastAsia="en-IN"/>
                <w14:ligatures w14:val="none"/>
              </w:rPr>
            </w:pPr>
            <w:r w:rsidRPr="005A604C">
              <w:rPr>
                <w:rFonts w:ascii="Calibri" w:eastAsia="Times New Roman" w:hAnsi="Calibri" w:cs="Calibri"/>
                <w:b/>
                <w:bCs/>
                <w:color w:val="000000"/>
                <w:kern w:val="0"/>
                <w:sz w:val="24"/>
                <w:szCs w:val="24"/>
                <w:lang w:eastAsia="en-IN"/>
                <w14:ligatures w14:val="none"/>
              </w:rPr>
              <w:t>RBI Notifications</w:t>
            </w:r>
          </w:p>
        </w:tc>
      </w:tr>
      <w:tr w:rsidR="005A604C" w:rsidRPr="005A604C" w14:paraId="00FDEF46"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B781C9E" w14:textId="12C3F15F"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4669" w:type="pct"/>
            <w:tcBorders>
              <w:top w:val="nil"/>
              <w:left w:val="nil"/>
              <w:bottom w:val="single" w:sz="4" w:space="0" w:color="auto"/>
              <w:right w:val="single" w:sz="4" w:space="0" w:color="auto"/>
            </w:tcBorders>
            <w:shd w:val="clear" w:color="auto" w:fill="auto"/>
            <w:vAlign w:val="center"/>
            <w:hideMark/>
          </w:tcPr>
          <w:p w14:paraId="69EE9603"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Master Circular - Management of Advances - UCBs</w:t>
            </w:r>
          </w:p>
        </w:tc>
      </w:tr>
      <w:tr w:rsidR="005A604C" w:rsidRPr="005A604C" w14:paraId="4B6A2017"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28D0FF69" w14:textId="5DB597EA"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4669" w:type="pct"/>
            <w:tcBorders>
              <w:top w:val="nil"/>
              <w:left w:val="nil"/>
              <w:bottom w:val="single" w:sz="4" w:space="0" w:color="auto"/>
              <w:right w:val="single" w:sz="4" w:space="0" w:color="auto"/>
            </w:tcBorders>
            <w:shd w:val="clear" w:color="auto" w:fill="auto"/>
            <w:vAlign w:val="center"/>
            <w:hideMark/>
          </w:tcPr>
          <w:p w14:paraId="74E334B6"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Reserve Bank of India Act, 1934 - Section 42(1A) - Requirement for maintaining additional CRR</w:t>
            </w:r>
          </w:p>
        </w:tc>
      </w:tr>
      <w:tr w:rsidR="005A604C" w:rsidRPr="005A604C" w14:paraId="1D1EFA5D"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15DFF3A" w14:textId="03A2CD97"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4669" w:type="pct"/>
            <w:tcBorders>
              <w:top w:val="nil"/>
              <w:left w:val="nil"/>
              <w:bottom w:val="single" w:sz="4" w:space="0" w:color="auto"/>
              <w:right w:val="single" w:sz="4" w:space="0" w:color="auto"/>
            </w:tcBorders>
            <w:shd w:val="clear" w:color="auto" w:fill="auto"/>
            <w:vAlign w:val="center"/>
            <w:hideMark/>
          </w:tcPr>
          <w:p w14:paraId="4E152AFD"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Fair Lending Practice - Penal Charges in Loan Accounts</w:t>
            </w:r>
          </w:p>
        </w:tc>
      </w:tr>
      <w:tr w:rsidR="005A604C" w:rsidRPr="005A604C" w14:paraId="6C36B987"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8777C14" w14:textId="70082634"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4669" w:type="pct"/>
            <w:tcBorders>
              <w:top w:val="nil"/>
              <w:left w:val="nil"/>
              <w:bottom w:val="single" w:sz="4" w:space="0" w:color="auto"/>
              <w:right w:val="single" w:sz="4" w:space="0" w:color="auto"/>
            </w:tcBorders>
            <w:shd w:val="clear" w:color="auto" w:fill="auto"/>
            <w:vAlign w:val="center"/>
            <w:hideMark/>
          </w:tcPr>
          <w:p w14:paraId="2ADFF13F"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Reset of Floating Interest Rate on Equated Monthly Instalments (EMI) based Personal Loans</w:t>
            </w:r>
          </w:p>
        </w:tc>
      </w:tr>
      <w:tr w:rsidR="005A604C" w:rsidRPr="005A604C" w14:paraId="20F76064"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0A78605D" w14:textId="177A3E5F"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4669" w:type="pct"/>
            <w:tcBorders>
              <w:top w:val="nil"/>
              <w:left w:val="nil"/>
              <w:bottom w:val="single" w:sz="4" w:space="0" w:color="auto"/>
              <w:right w:val="single" w:sz="4" w:space="0" w:color="auto"/>
            </w:tcBorders>
            <w:shd w:val="clear" w:color="auto" w:fill="auto"/>
            <w:vAlign w:val="center"/>
            <w:hideMark/>
          </w:tcPr>
          <w:p w14:paraId="47158E0D"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Operation of Pre-Sanctioned Credit Lines at Banks through Unified Payments Interface (UPI)</w:t>
            </w:r>
          </w:p>
        </w:tc>
      </w:tr>
      <w:tr w:rsidR="005A604C" w:rsidRPr="005A604C" w14:paraId="5D0D9288" w14:textId="77777777" w:rsidTr="005A604C">
        <w:trPr>
          <w:trHeight w:val="63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D39A3BC" w14:textId="21F20907"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4669" w:type="pct"/>
            <w:tcBorders>
              <w:top w:val="nil"/>
              <w:left w:val="nil"/>
              <w:bottom w:val="single" w:sz="4" w:space="0" w:color="auto"/>
              <w:right w:val="single" w:sz="4" w:space="0" w:color="auto"/>
            </w:tcBorders>
            <w:shd w:val="clear" w:color="auto" w:fill="auto"/>
            <w:vAlign w:val="center"/>
            <w:hideMark/>
          </w:tcPr>
          <w:p w14:paraId="374B411C"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Responsible Lending Conduct – Release of Movable / Immovable Property Documents on Repayment/ Settlement of Personal Loans</w:t>
            </w:r>
          </w:p>
        </w:tc>
      </w:tr>
      <w:tr w:rsidR="005A604C" w:rsidRPr="005A604C" w14:paraId="6786E3E7"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CBB508F" w14:textId="12EC2FCC"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4669" w:type="pct"/>
            <w:tcBorders>
              <w:top w:val="nil"/>
              <w:left w:val="nil"/>
              <w:bottom w:val="single" w:sz="4" w:space="0" w:color="auto"/>
              <w:right w:val="single" w:sz="4" w:space="0" w:color="auto"/>
            </w:tcBorders>
            <w:shd w:val="clear" w:color="auto" w:fill="auto"/>
            <w:vAlign w:val="center"/>
            <w:hideMark/>
          </w:tcPr>
          <w:p w14:paraId="690E6007"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 xml:space="preserve">PM </w:t>
            </w:r>
            <w:proofErr w:type="spellStart"/>
            <w:r w:rsidRPr="005A604C">
              <w:rPr>
                <w:rFonts w:ascii="Calibri" w:eastAsia="Times New Roman" w:hAnsi="Calibri" w:cs="Calibri"/>
                <w:color w:val="000000"/>
                <w:kern w:val="0"/>
                <w:sz w:val="24"/>
                <w:szCs w:val="24"/>
                <w:lang w:eastAsia="en-IN"/>
                <w14:ligatures w14:val="none"/>
              </w:rPr>
              <w:t>Vishwakarma</w:t>
            </w:r>
            <w:proofErr w:type="spellEnd"/>
            <w:r w:rsidRPr="005A604C">
              <w:rPr>
                <w:rFonts w:ascii="Calibri" w:eastAsia="Times New Roman" w:hAnsi="Calibri" w:cs="Calibri"/>
                <w:color w:val="000000"/>
                <w:kern w:val="0"/>
                <w:sz w:val="24"/>
                <w:szCs w:val="24"/>
                <w:lang w:eastAsia="en-IN"/>
                <w14:ligatures w14:val="none"/>
              </w:rPr>
              <w:t xml:space="preserve"> Scheme</w:t>
            </w:r>
          </w:p>
        </w:tc>
      </w:tr>
      <w:tr w:rsidR="005A604C" w:rsidRPr="005A604C" w14:paraId="55051B67"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3CE1FC52" w14:textId="35105A70"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4669" w:type="pct"/>
            <w:tcBorders>
              <w:top w:val="nil"/>
              <w:left w:val="nil"/>
              <w:bottom w:val="single" w:sz="4" w:space="0" w:color="auto"/>
              <w:right w:val="single" w:sz="4" w:space="0" w:color="auto"/>
            </w:tcBorders>
            <w:shd w:val="clear" w:color="auto" w:fill="auto"/>
            <w:vAlign w:val="center"/>
            <w:hideMark/>
          </w:tcPr>
          <w:p w14:paraId="4499A2BE"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Data Quality Index for Commercial and Microfinance Segments by Credit Information Companies</w:t>
            </w:r>
          </w:p>
        </w:tc>
      </w:tr>
      <w:tr w:rsidR="005A604C" w:rsidRPr="005A604C" w14:paraId="6005C4AC" w14:textId="77777777" w:rsidTr="005A604C">
        <w:trPr>
          <w:trHeight w:val="94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3FF92A17" w14:textId="54D4A806"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4669" w:type="pct"/>
            <w:tcBorders>
              <w:top w:val="nil"/>
              <w:left w:val="nil"/>
              <w:bottom w:val="single" w:sz="4" w:space="0" w:color="auto"/>
              <w:right w:val="single" w:sz="4" w:space="0" w:color="auto"/>
            </w:tcBorders>
            <w:shd w:val="clear" w:color="auto" w:fill="auto"/>
            <w:vAlign w:val="center"/>
            <w:hideMark/>
          </w:tcPr>
          <w:p w14:paraId="54D08EDE"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5A604C" w:rsidRPr="005A604C" w14:paraId="12B615D8"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5856D525" w14:textId="2867933C"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4669" w:type="pct"/>
            <w:tcBorders>
              <w:top w:val="nil"/>
              <w:left w:val="nil"/>
              <w:bottom w:val="single" w:sz="4" w:space="0" w:color="auto"/>
              <w:right w:val="single" w:sz="4" w:space="0" w:color="auto"/>
            </w:tcBorders>
            <w:shd w:val="clear" w:color="auto" w:fill="auto"/>
            <w:vAlign w:val="center"/>
            <w:hideMark/>
          </w:tcPr>
          <w:p w14:paraId="163BE468"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Strengthening of customer service rendered by Credit Information Companies and Credit Institutions</w:t>
            </w:r>
          </w:p>
        </w:tc>
      </w:tr>
      <w:tr w:rsidR="005A604C" w:rsidRPr="005A604C" w14:paraId="697A59F7"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E70AB73" w14:textId="6F58C517"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4669" w:type="pct"/>
            <w:tcBorders>
              <w:top w:val="nil"/>
              <w:left w:val="nil"/>
              <w:bottom w:val="single" w:sz="4" w:space="0" w:color="auto"/>
              <w:right w:val="single" w:sz="4" w:space="0" w:color="auto"/>
            </w:tcBorders>
            <w:shd w:val="clear" w:color="auto" w:fill="auto"/>
            <w:vAlign w:val="bottom"/>
            <w:hideMark/>
          </w:tcPr>
          <w:p w14:paraId="736E4C84"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MHP Exemption for Transfer of Receivables</w:t>
            </w:r>
          </w:p>
        </w:tc>
      </w:tr>
      <w:tr w:rsidR="005A604C" w:rsidRPr="005A604C" w14:paraId="1E843EB3"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5DA35DF" w14:textId="28FE7595"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4669" w:type="pct"/>
            <w:tcBorders>
              <w:top w:val="nil"/>
              <w:left w:val="nil"/>
              <w:bottom w:val="single" w:sz="4" w:space="0" w:color="auto"/>
              <w:right w:val="single" w:sz="4" w:space="0" w:color="auto"/>
            </w:tcBorders>
            <w:shd w:val="clear" w:color="auto" w:fill="auto"/>
            <w:vAlign w:val="bottom"/>
            <w:hideMark/>
          </w:tcPr>
          <w:p w14:paraId="6F515705"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Fair Lending Practice - Penal Charges in Loan Accounts: Extension of Timeline for Implementation of Instructions</w:t>
            </w:r>
          </w:p>
        </w:tc>
      </w:tr>
      <w:tr w:rsidR="005A604C" w:rsidRPr="005A604C" w14:paraId="2695E7F2" w14:textId="77777777" w:rsidTr="005A604C">
        <w:trPr>
          <w:trHeight w:val="31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52661173" w14:textId="6228AF31" w:rsidR="005A604C" w:rsidRPr="005A604C" w:rsidRDefault="005A604C" w:rsidP="005A604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4669" w:type="pct"/>
            <w:tcBorders>
              <w:top w:val="nil"/>
              <w:left w:val="nil"/>
              <w:bottom w:val="single" w:sz="4" w:space="0" w:color="auto"/>
              <w:right w:val="single" w:sz="4" w:space="0" w:color="auto"/>
            </w:tcBorders>
            <w:shd w:val="clear" w:color="auto" w:fill="auto"/>
            <w:vAlign w:val="bottom"/>
            <w:hideMark/>
          </w:tcPr>
          <w:p w14:paraId="30B83A00" w14:textId="77777777" w:rsidR="005A604C" w:rsidRPr="005A604C" w:rsidRDefault="005A604C" w:rsidP="005A604C">
            <w:pPr>
              <w:spacing w:after="0" w:line="240" w:lineRule="auto"/>
              <w:jc w:val="both"/>
              <w:rPr>
                <w:rFonts w:ascii="Calibri" w:eastAsia="Times New Roman" w:hAnsi="Calibri" w:cs="Calibri"/>
                <w:color w:val="000000"/>
                <w:kern w:val="0"/>
                <w:sz w:val="24"/>
                <w:szCs w:val="24"/>
                <w:lang w:eastAsia="en-IN"/>
                <w14:ligatures w14:val="none"/>
              </w:rPr>
            </w:pPr>
            <w:r w:rsidRPr="005A604C">
              <w:rPr>
                <w:rFonts w:ascii="Calibri" w:eastAsia="Times New Roman" w:hAnsi="Calibri" w:cs="Calibri"/>
                <w:color w:val="000000"/>
                <w:kern w:val="0"/>
                <w:sz w:val="24"/>
                <w:szCs w:val="24"/>
                <w:lang w:eastAsia="en-IN"/>
                <w14:ligatures w14:val="none"/>
              </w:rPr>
              <w:t>Master Direction - Reserve Bank of India (Internal Ombudsman for Regulated Entities) Directions, 2023</w:t>
            </w:r>
          </w:p>
        </w:tc>
      </w:tr>
    </w:tbl>
    <w:p w14:paraId="5D11CC7A" w14:textId="77777777" w:rsidR="001518B7" w:rsidRDefault="001518B7"/>
    <w:p w14:paraId="531A0D73" w14:textId="77777777" w:rsidR="004D6DF7" w:rsidRDefault="004D6DF7"/>
    <w:p w14:paraId="1E36E74B" w14:textId="77777777" w:rsidR="004D6DF7" w:rsidRDefault="004D6DF7"/>
    <w:p w14:paraId="1AE79C78" w14:textId="77777777" w:rsidR="004D6DF7" w:rsidRDefault="004D6DF7"/>
    <w:p w14:paraId="05FDCA29" w14:textId="77777777" w:rsidR="004D6DF7" w:rsidRDefault="004D6DF7"/>
    <w:p w14:paraId="081B0126" w14:textId="77777777" w:rsidR="004D6DF7" w:rsidRDefault="004D6DF7"/>
    <w:p w14:paraId="38EB87DD" w14:textId="77777777" w:rsidR="004D6DF7" w:rsidRDefault="004D6DF7"/>
    <w:p w14:paraId="16A61CE8" w14:textId="77777777" w:rsidR="004D6DF7" w:rsidRDefault="004D6DF7"/>
    <w:p w14:paraId="5A4BEB8E" w14:textId="77777777" w:rsidR="004D6DF7" w:rsidRDefault="004D6DF7"/>
    <w:p w14:paraId="512A08BF" w14:textId="77777777" w:rsidR="004D6DF7" w:rsidRDefault="004D6DF7"/>
    <w:p w14:paraId="473693D6" w14:textId="1CDA19C5" w:rsidR="004D6DF7" w:rsidRDefault="004D6DF7"/>
    <w:p w14:paraId="1B37A7B7" w14:textId="762764A3" w:rsidR="00272E7F" w:rsidRPr="00272E7F" w:rsidRDefault="00272E7F" w:rsidP="005A604C">
      <w:pPr>
        <w:spacing w:before="100" w:beforeAutospacing="1" w:after="100" w:afterAutospacing="1" w:line="240" w:lineRule="auto"/>
        <w:jc w:val="both"/>
        <w:rPr>
          <w:rFonts w:ascii="Arial" w:eastAsia="Times New Roman" w:hAnsi="Arial" w:cs="Arial"/>
          <w:b/>
          <w:color w:val="000000"/>
          <w:kern w:val="0"/>
          <w:sz w:val="20"/>
          <w:szCs w:val="20"/>
          <w:lang w:eastAsia="en-IN"/>
          <w14:ligatures w14:val="none"/>
        </w:rPr>
      </w:pPr>
      <w:r w:rsidRPr="005A604C">
        <w:rPr>
          <w:rFonts w:ascii="Calibri" w:eastAsia="Times New Roman" w:hAnsi="Calibri" w:cs="Calibri"/>
          <w:b/>
          <w:color w:val="000000"/>
          <w:kern w:val="0"/>
          <w:sz w:val="24"/>
          <w:szCs w:val="24"/>
          <w:lang w:eastAsia="en-IN"/>
          <w14:ligatures w14:val="none"/>
        </w:rPr>
        <w:lastRenderedPageBreak/>
        <w:t>Master Circular - Management of Advances - UCBs</w:t>
      </w:r>
    </w:p>
    <w:p w14:paraId="22B8CD8C" w14:textId="222FB4CC"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RBI/2023-24/51</w:t>
      </w:r>
      <w:r w:rsidRPr="005A604C">
        <w:rPr>
          <w:rFonts w:ascii="Arial" w:eastAsia="Times New Roman" w:hAnsi="Arial" w:cs="Arial"/>
          <w:color w:val="000000"/>
          <w:kern w:val="0"/>
          <w:sz w:val="20"/>
          <w:szCs w:val="20"/>
          <w:lang w:eastAsia="en-IN"/>
          <w14:ligatures w14:val="none"/>
        </w:rPr>
        <w:br/>
        <w:t>DOR.CRE.REC.No.27/07.10.002/2023-24</w:t>
      </w:r>
    </w:p>
    <w:p w14:paraId="26B229A9" w14:textId="77777777" w:rsidR="005A604C" w:rsidRPr="005A604C" w:rsidRDefault="005A604C" w:rsidP="005A604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July 25, 2023</w:t>
      </w:r>
    </w:p>
    <w:p w14:paraId="1BF4FBE8"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All Primary (Urban) Co-operative Banks</w:t>
      </w:r>
    </w:p>
    <w:p w14:paraId="2070C003"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Dear Sir/ Madam,</w:t>
      </w:r>
    </w:p>
    <w:p w14:paraId="2082E691" w14:textId="77777777" w:rsidR="005A604C" w:rsidRPr="005A604C" w:rsidRDefault="005A604C" w:rsidP="005A604C">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5A604C">
        <w:rPr>
          <w:rFonts w:ascii="Arial" w:eastAsia="Times New Roman" w:hAnsi="Arial" w:cs="Arial"/>
          <w:b/>
          <w:bCs/>
          <w:color w:val="000000"/>
          <w:kern w:val="0"/>
          <w:sz w:val="20"/>
          <w:szCs w:val="20"/>
          <w:lang w:eastAsia="en-IN"/>
          <w14:ligatures w14:val="none"/>
        </w:rPr>
        <w:t>Master Circular - Management of Advances - UCBs</w:t>
      </w:r>
    </w:p>
    <w:p w14:paraId="58D41A59"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Please refer to our </w:t>
      </w:r>
      <w:hyperlink r:id="rId5" w:tgtFrame="_blank" w:history="1">
        <w:r w:rsidRPr="005A604C">
          <w:rPr>
            <w:rFonts w:ascii="Arial" w:eastAsia="Times New Roman" w:hAnsi="Arial" w:cs="Arial"/>
            <w:color w:val="0000FF"/>
            <w:kern w:val="0"/>
            <w:sz w:val="20"/>
            <w:szCs w:val="20"/>
            <w:u w:val="single"/>
            <w:lang w:eastAsia="en-IN"/>
            <w14:ligatures w14:val="none"/>
          </w:rPr>
          <w:t>Mater Circular DOR.CRE.REC.No.17/13.05.000/2022-23 dated April 8, 2022</w:t>
        </w:r>
      </w:hyperlink>
      <w:r w:rsidRPr="005A604C">
        <w:rPr>
          <w:rFonts w:ascii="Arial" w:eastAsia="Times New Roman" w:hAnsi="Arial" w:cs="Arial"/>
          <w:color w:val="000000"/>
          <w:kern w:val="0"/>
          <w:sz w:val="20"/>
          <w:szCs w:val="20"/>
          <w:lang w:eastAsia="en-IN"/>
          <w14:ligatures w14:val="none"/>
        </w:rPr>
        <w:t> on the captioned subject. The enclosed </w:t>
      </w:r>
      <w:hyperlink r:id="rId6" w:anchor="MC" w:history="1">
        <w:r w:rsidRPr="005A604C">
          <w:rPr>
            <w:rFonts w:ascii="Arial" w:eastAsia="Times New Roman" w:hAnsi="Arial" w:cs="Arial"/>
            <w:color w:val="0000FF"/>
            <w:kern w:val="0"/>
            <w:sz w:val="20"/>
            <w:szCs w:val="20"/>
            <w:u w:val="single"/>
            <w:lang w:eastAsia="en-IN"/>
            <w14:ligatures w14:val="none"/>
          </w:rPr>
          <w:t>Master Circular</w:t>
        </w:r>
      </w:hyperlink>
      <w:r w:rsidRPr="005A604C">
        <w:rPr>
          <w:rFonts w:ascii="Arial" w:eastAsia="Times New Roman" w:hAnsi="Arial" w:cs="Arial"/>
          <w:color w:val="000000"/>
          <w:kern w:val="0"/>
          <w:sz w:val="20"/>
          <w:szCs w:val="20"/>
          <w:lang w:eastAsia="en-IN"/>
          <w14:ligatures w14:val="none"/>
        </w:rPr>
        <w:t> consolidates and updates all the instructions / guidelines on the subject issued till date.</w:t>
      </w:r>
    </w:p>
    <w:p w14:paraId="5C03A1B8"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Yours faithfully</w:t>
      </w:r>
    </w:p>
    <w:p w14:paraId="1260046F" w14:textId="77777777" w:rsidR="005A604C" w:rsidRPr="005A604C" w:rsidRDefault="005A604C" w:rsidP="001C128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w:t>
      </w:r>
      <w:proofErr w:type="spellStart"/>
      <w:r w:rsidRPr="005A604C">
        <w:rPr>
          <w:rFonts w:ascii="Arial" w:eastAsia="Times New Roman" w:hAnsi="Arial" w:cs="Arial"/>
          <w:color w:val="000000"/>
          <w:kern w:val="0"/>
          <w:sz w:val="20"/>
          <w:szCs w:val="20"/>
          <w:lang w:eastAsia="en-IN"/>
          <w14:ligatures w14:val="none"/>
        </w:rPr>
        <w:t>Manoranjan</w:t>
      </w:r>
      <w:proofErr w:type="spellEnd"/>
      <w:r w:rsidRPr="005A604C">
        <w:rPr>
          <w:rFonts w:ascii="Arial" w:eastAsia="Times New Roman" w:hAnsi="Arial" w:cs="Arial"/>
          <w:color w:val="000000"/>
          <w:kern w:val="0"/>
          <w:sz w:val="20"/>
          <w:szCs w:val="20"/>
          <w:lang w:eastAsia="en-IN"/>
          <w14:ligatures w14:val="none"/>
        </w:rPr>
        <w:t xml:space="preserve"> Mishra)</w:t>
      </w:r>
      <w:r w:rsidRPr="005A604C">
        <w:rPr>
          <w:rFonts w:ascii="Arial" w:eastAsia="Times New Roman" w:hAnsi="Arial" w:cs="Arial"/>
          <w:color w:val="000000"/>
          <w:kern w:val="0"/>
          <w:sz w:val="20"/>
          <w:szCs w:val="20"/>
          <w:lang w:eastAsia="en-IN"/>
          <w14:ligatures w14:val="none"/>
        </w:rPr>
        <w:br/>
        <w:t>Chief General Manager</w:t>
      </w:r>
    </w:p>
    <w:p w14:paraId="0896E215"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Encl.: as above</w:t>
      </w:r>
    </w:p>
    <w:p w14:paraId="761B5E13" w14:textId="1F6BE53F" w:rsidR="005A604C" w:rsidRDefault="005A604C"/>
    <w:p w14:paraId="2EC1E565" w14:textId="15E6C7BD" w:rsidR="001C1285" w:rsidRDefault="00057271">
      <w:r>
        <w:t>For more details, Kindly refer:</w:t>
      </w:r>
    </w:p>
    <w:p w14:paraId="27FAE696" w14:textId="35CA58EA" w:rsidR="005A604C" w:rsidRDefault="00A71B1B">
      <w:hyperlink r:id="rId7" w:history="1">
        <w:r w:rsidR="005A604C" w:rsidRPr="009F155A">
          <w:rPr>
            <w:rStyle w:val="Hyperlink"/>
          </w:rPr>
          <w:t>https://rbi.org.in/Scripts/NotificationUser.aspx?Id=12525&amp;Mode=0</w:t>
        </w:r>
      </w:hyperlink>
    </w:p>
    <w:p w14:paraId="622EDB4A" w14:textId="245E8046" w:rsidR="005A604C" w:rsidRDefault="005A604C"/>
    <w:p w14:paraId="586BBD1E" w14:textId="384310E0" w:rsidR="005A604C" w:rsidRDefault="005A604C"/>
    <w:p w14:paraId="7FEB2734" w14:textId="7B4C012E" w:rsidR="005A604C" w:rsidRDefault="005A604C"/>
    <w:p w14:paraId="2DD63554" w14:textId="0DC8957C" w:rsidR="005A604C" w:rsidRDefault="005A604C"/>
    <w:p w14:paraId="631B71D6" w14:textId="2EEB1CFF" w:rsidR="005A604C" w:rsidRDefault="005A604C"/>
    <w:p w14:paraId="0CC43EF4" w14:textId="5FAFC1B9" w:rsidR="005A604C" w:rsidRDefault="005A604C"/>
    <w:p w14:paraId="74A7C10D" w14:textId="62A610AC" w:rsidR="005A604C" w:rsidRDefault="005A604C"/>
    <w:p w14:paraId="17DA878E" w14:textId="358F09BC" w:rsidR="005A604C" w:rsidRDefault="005A604C"/>
    <w:p w14:paraId="4B753F26" w14:textId="6C046414" w:rsidR="005A604C" w:rsidRDefault="005A604C"/>
    <w:p w14:paraId="7F8033D8" w14:textId="7451EAEA" w:rsidR="005A604C" w:rsidRDefault="005A604C"/>
    <w:p w14:paraId="05AE002F" w14:textId="7F49B136" w:rsidR="005A604C" w:rsidRDefault="005A604C"/>
    <w:p w14:paraId="49204FEA" w14:textId="77A6A20A" w:rsidR="005A604C" w:rsidRDefault="005A604C"/>
    <w:p w14:paraId="4EA35843" w14:textId="6B7DDB47" w:rsidR="005A604C" w:rsidRDefault="005A604C"/>
    <w:p w14:paraId="565223EF" w14:textId="28396C74" w:rsidR="005A604C" w:rsidRDefault="005A604C"/>
    <w:p w14:paraId="3E0275CF" w14:textId="623BA900" w:rsidR="005A604C" w:rsidRPr="00272E7F" w:rsidRDefault="00272E7F">
      <w:pPr>
        <w:rPr>
          <w:b/>
        </w:rPr>
      </w:pPr>
      <w:r w:rsidRPr="005A604C">
        <w:rPr>
          <w:rFonts w:ascii="Calibri" w:eastAsia="Times New Roman" w:hAnsi="Calibri" w:cs="Calibri"/>
          <w:b/>
          <w:color w:val="000000"/>
          <w:kern w:val="0"/>
          <w:sz w:val="24"/>
          <w:szCs w:val="24"/>
          <w:lang w:eastAsia="en-IN"/>
          <w14:ligatures w14:val="none"/>
        </w:rPr>
        <w:lastRenderedPageBreak/>
        <w:t>Reserve Bank of India Act, 1934 - Section 42(1A) - Requirement for maintaining additional CRR</w:t>
      </w:r>
    </w:p>
    <w:p w14:paraId="42AD4144" w14:textId="25CF5039"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RBI/2023-24/52</w:t>
      </w:r>
      <w:r w:rsidRPr="005A604C">
        <w:rPr>
          <w:rFonts w:ascii="Arial" w:eastAsia="Times New Roman" w:hAnsi="Arial" w:cs="Arial"/>
          <w:color w:val="000000"/>
          <w:kern w:val="0"/>
          <w:sz w:val="20"/>
          <w:szCs w:val="20"/>
          <w:lang w:eastAsia="en-IN"/>
          <w14:ligatures w14:val="none"/>
        </w:rPr>
        <w:br/>
        <w:t>DOR.RET.REC.29/12.01.001/2023-24</w:t>
      </w:r>
    </w:p>
    <w:p w14:paraId="0BADB70E" w14:textId="77777777" w:rsidR="005A604C" w:rsidRPr="005A604C" w:rsidRDefault="005A604C" w:rsidP="005A604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August 10, 2023</w:t>
      </w:r>
    </w:p>
    <w:p w14:paraId="22545666"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The Chairperson / CEOs of all Scheduled Commercial Banks / Regional Rural Banks /</w:t>
      </w:r>
      <w:r w:rsidRPr="005A604C">
        <w:rPr>
          <w:rFonts w:ascii="Arial" w:eastAsia="Times New Roman" w:hAnsi="Arial" w:cs="Arial"/>
          <w:color w:val="000000"/>
          <w:kern w:val="0"/>
          <w:sz w:val="20"/>
          <w:szCs w:val="20"/>
          <w:lang w:eastAsia="en-IN"/>
          <w14:ligatures w14:val="none"/>
        </w:rPr>
        <w:br/>
        <w:t>All Scheduled Primary (Urban) Co-operative Banks / All Scheduled State Co-operative Banks</w:t>
      </w:r>
    </w:p>
    <w:p w14:paraId="18835761"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Madam / Dear Sir,</w:t>
      </w:r>
    </w:p>
    <w:p w14:paraId="01BBF34B" w14:textId="77777777" w:rsidR="005A604C" w:rsidRPr="005A604C" w:rsidRDefault="005A604C" w:rsidP="005A604C">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5A604C">
        <w:rPr>
          <w:rFonts w:ascii="Arial" w:eastAsia="Times New Roman" w:hAnsi="Arial" w:cs="Arial"/>
          <w:b/>
          <w:bCs/>
          <w:color w:val="000000"/>
          <w:kern w:val="0"/>
          <w:sz w:val="20"/>
          <w:szCs w:val="20"/>
          <w:lang w:eastAsia="en-IN"/>
          <w14:ligatures w14:val="none"/>
        </w:rPr>
        <w:t>Reserve Bank of India Act, 1934 - Section 42(1A) - Requirement for maintaining additional CRR</w:t>
      </w:r>
    </w:p>
    <w:p w14:paraId="22712990"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Under Section 42(1) of the Reserve Bank of India Act, 1934, all Scheduled Banks are required to maintain with Reserve Bank of India a Cash Reserve Ratio (CRR) of 4.50 per cent of Net Demand and Time Liabilities (NDTL).</w:t>
      </w:r>
    </w:p>
    <w:p w14:paraId="6A543E52"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2. On a review of the current liquidity conditions, it has been decided to issue a directive under Section 42(1A) of the Reserve Bank of India Act, 1934 requiring all Scheduled Commercial Banks / Regional Rural Banks / all Scheduled Primary (Urban) Co-operative Banks / all Scheduled State Co-operative Banks to maintain with the Reserve Bank of India, effective from the fortnight beginning August 12, 2023, an incremental CRR (I-CRR) of 10 per cent on the increase in NDTL between May 19, 2023 and July 28, 2023. The I-CRR will be reviewed on September 8, 2023 or earlier.</w:t>
      </w:r>
    </w:p>
    <w:p w14:paraId="3CE7CBCC"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3. A copy of the relative notification DOR.RET.REC.30/12.01.001/2023-24 dated August 10, 2023 is </w:t>
      </w:r>
      <w:hyperlink r:id="rId8" w:anchor="AN1" w:history="1">
        <w:r w:rsidRPr="005A604C">
          <w:rPr>
            <w:rFonts w:ascii="Arial" w:eastAsia="Times New Roman" w:hAnsi="Arial" w:cs="Arial"/>
            <w:color w:val="0000FF"/>
            <w:kern w:val="0"/>
            <w:sz w:val="20"/>
            <w:szCs w:val="20"/>
            <w:u w:val="single"/>
            <w:lang w:eastAsia="en-IN"/>
            <w14:ligatures w14:val="none"/>
          </w:rPr>
          <w:t>enclosed</w:t>
        </w:r>
      </w:hyperlink>
      <w:r w:rsidRPr="005A604C">
        <w:rPr>
          <w:rFonts w:ascii="Arial" w:eastAsia="Times New Roman" w:hAnsi="Arial" w:cs="Arial"/>
          <w:color w:val="000000"/>
          <w:kern w:val="0"/>
          <w:sz w:val="20"/>
          <w:szCs w:val="20"/>
          <w:lang w:eastAsia="en-IN"/>
          <w14:ligatures w14:val="none"/>
        </w:rPr>
        <w:t>.</w:t>
      </w:r>
    </w:p>
    <w:p w14:paraId="23821C31"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Yours faithfully,</w:t>
      </w:r>
    </w:p>
    <w:p w14:paraId="5180376D" w14:textId="01E0AF8E" w:rsidR="005A604C" w:rsidRPr="005A604C" w:rsidRDefault="005A604C" w:rsidP="005A604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w:t>
      </w:r>
      <w:proofErr w:type="spellStart"/>
      <w:r>
        <w:rPr>
          <w:rFonts w:ascii="Arial" w:eastAsia="Times New Roman" w:hAnsi="Arial" w:cs="Arial"/>
          <w:color w:val="000000"/>
          <w:kern w:val="0"/>
          <w:sz w:val="20"/>
          <w:szCs w:val="20"/>
          <w:lang w:eastAsia="en-IN"/>
          <w14:ligatures w14:val="none"/>
        </w:rPr>
        <w:t>Brij</w:t>
      </w:r>
      <w:r w:rsidRPr="005A604C">
        <w:rPr>
          <w:rFonts w:ascii="Arial" w:eastAsia="Times New Roman" w:hAnsi="Arial" w:cs="Arial"/>
          <w:color w:val="000000"/>
          <w:kern w:val="0"/>
          <w:sz w:val="20"/>
          <w:szCs w:val="20"/>
          <w:lang w:eastAsia="en-IN"/>
          <w14:ligatures w14:val="none"/>
        </w:rPr>
        <w:t>Raj</w:t>
      </w:r>
      <w:proofErr w:type="spellEnd"/>
      <w:r w:rsidRPr="005A604C">
        <w:rPr>
          <w:rFonts w:ascii="Arial" w:eastAsia="Times New Roman" w:hAnsi="Arial" w:cs="Arial"/>
          <w:color w:val="000000"/>
          <w:kern w:val="0"/>
          <w:sz w:val="20"/>
          <w:szCs w:val="20"/>
          <w:lang w:eastAsia="en-IN"/>
          <w14:ligatures w14:val="none"/>
        </w:rPr>
        <w:t>)</w:t>
      </w:r>
      <w:r w:rsidRPr="005A604C">
        <w:rPr>
          <w:rFonts w:ascii="Arial" w:eastAsia="Times New Roman" w:hAnsi="Arial" w:cs="Arial"/>
          <w:color w:val="000000"/>
          <w:kern w:val="0"/>
          <w:sz w:val="20"/>
          <w:szCs w:val="20"/>
          <w:lang w:eastAsia="en-IN"/>
          <w14:ligatures w14:val="none"/>
        </w:rPr>
        <w:br/>
        <w:t>Chief General Manager</w:t>
      </w:r>
    </w:p>
    <w:p w14:paraId="2399EB48" w14:textId="6CDB8944" w:rsidR="005A604C" w:rsidRDefault="005A604C"/>
    <w:p w14:paraId="3D2DE3C6" w14:textId="2487F654" w:rsidR="005A604C" w:rsidRDefault="005A604C"/>
    <w:p w14:paraId="74D688FC" w14:textId="77777777" w:rsidR="00057271" w:rsidRDefault="00057271">
      <w:r w:rsidRPr="00057271">
        <w:t>For more details, Kindly refer:</w:t>
      </w:r>
    </w:p>
    <w:p w14:paraId="0F01AE5D" w14:textId="617F89CE" w:rsidR="005A604C" w:rsidRDefault="00A71B1B">
      <w:hyperlink r:id="rId9" w:history="1">
        <w:r w:rsidR="005A604C" w:rsidRPr="009F155A">
          <w:rPr>
            <w:rStyle w:val="Hyperlink"/>
          </w:rPr>
          <w:t>https://rbi.org.in/Scripts/NotificationUser.aspx?Id=12526&amp;Mode=0</w:t>
        </w:r>
      </w:hyperlink>
    </w:p>
    <w:p w14:paraId="511813F1" w14:textId="6574044A" w:rsidR="005A604C" w:rsidRDefault="005A604C"/>
    <w:p w14:paraId="2ED58937" w14:textId="50FDBFE5" w:rsidR="005A604C" w:rsidRDefault="005A604C"/>
    <w:p w14:paraId="31B7A7E2" w14:textId="6DB04DF5" w:rsidR="005A604C" w:rsidRDefault="005A604C"/>
    <w:p w14:paraId="1FABAD70" w14:textId="182957DD" w:rsidR="005A604C" w:rsidRDefault="005A604C"/>
    <w:p w14:paraId="051C7947" w14:textId="306550EA" w:rsidR="005A604C" w:rsidRDefault="005A604C"/>
    <w:p w14:paraId="39DDFCB9" w14:textId="14350546" w:rsidR="005A604C" w:rsidRDefault="005A604C"/>
    <w:p w14:paraId="51180D85" w14:textId="22CB7EE9" w:rsidR="005A604C" w:rsidRDefault="005A604C"/>
    <w:p w14:paraId="73D07114" w14:textId="1E8F1490" w:rsidR="005A604C" w:rsidRDefault="005A604C"/>
    <w:p w14:paraId="277B7DB6" w14:textId="6CFC3003" w:rsidR="005A604C" w:rsidRPr="00272E7F" w:rsidRDefault="00272E7F">
      <w:pPr>
        <w:rPr>
          <w:b/>
        </w:rPr>
      </w:pPr>
      <w:r w:rsidRPr="005A604C">
        <w:rPr>
          <w:rFonts w:ascii="Calibri" w:eastAsia="Times New Roman" w:hAnsi="Calibri" w:cs="Calibri"/>
          <w:b/>
          <w:color w:val="000000"/>
          <w:kern w:val="0"/>
          <w:sz w:val="24"/>
          <w:szCs w:val="24"/>
          <w:lang w:eastAsia="en-IN"/>
          <w14:ligatures w14:val="none"/>
        </w:rPr>
        <w:lastRenderedPageBreak/>
        <w:t>Fair Lending Practice - Penal Charges in Loan Accounts</w:t>
      </w:r>
    </w:p>
    <w:p w14:paraId="3F3FA637"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RBI/2023-24/53</w:t>
      </w:r>
      <w:r w:rsidRPr="005A604C">
        <w:rPr>
          <w:rFonts w:ascii="Arial" w:eastAsia="Times New Roman" w:hAnsi="Arial" w:cs="Arial"/>
          <w:color w:val="000000"/>
          <w:kern w:val="0"/>
          <w:sz w:val="20"/>
          <w:szCs w:val="20"/>
          <w:lang w:eastAsia="en-IN"/>
          <w14:ligatures w14:val="none"/>
        </w:rPr>
        <w:br/>
        <w:t>DoR.MCS.REC.28/01.01.001/2023-24</w:t>
      </w:r>
    </w:p>
    <w:p w14:paraId="07D85650" w14:textId="77777777" w:rsidR="005A604C" w:rsidRPr="005A604C" w:rsidRDefault="005A604C" w:rsidP="005A604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August 18, 2023</w:t>
      </w:r>
    </w:p>
    <w:p w14:paraId="1173F5BC" w14:textId="77777777" w:rsidR="005A604C" w:rsidRPr="005A604C" w:rsidRDefault="005A604C" w:rsidP="005A604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5A604C">
        <w:rPr>
          <w:rFonts w:ascii="Arial" w:eastAsia="Times New Roman" w:hAnsi="Arial" w:cs="Arial"/>
          <w:color w:val="000000"/>
          <w:kern w:val="0"/>
          <w:sz w:val="20"/>
          <w:szCs w:val="20"/>
          <w:lang w:eastAsia="en-IN"/>
          <w14:ligatures w14:val="none"/>
        </w:rPr>
        <w:br/>
        <w:t>All Primary (Urban) Co-operative Banks</w:t>
      </w:r>
      <w:r w:rsidRPr="005A604C">
        <w:rPr>
          <w:rFonts w:ascii="Arial" w:eastAsia="Times New Roman" w:hAnsi="Arial" w:cs="Arial"/>
          <w:color w:val="000000"/>
          <w:kern w:val="0"/>
          <w:sz w:val="20"/>
          <w:szCs w:val="20"/>
          <w:lang w:eastAsia="en-IN"/>
          <w14:ligatures w14:val="none"/>
        </w:rPr>
        <w:br/>
        <w:t>All NBFCs (including HFCs) and</w:t>
      </w:r>
      <w:r w:rsidRPr="005A604C">
        <w:rPr>
          <w:rFonts w:ascii="Arial" w:eastAsia="Times New Roman" w:hAnsi="Arial" w:cs="Arial"/>
          <w:color w:val="000000"/>
          <w:kern w:val="0"/>
          <w:sz w:val="20"/>
          <w:szCs w:val="20"/>
          <w:lang w:eastAsia="en-IN"/>
          <w14:ligatures w14:val="none"/>
        </w:rPr>
        <w:br/>
        <w:t xml:space="preserve">All India Financial Institutions (EXIM Bank, NABARD, NHB, SIDBI and </w:t>
      </w:r>
      <w:proofErr w:type="spellStart"/>
      <w:r w:rsidRPr="005A604C">
        <w:rPr>
          <w:rFonts w:ascii="Arial" w:eastAsia="Times New Roman" w:hAnsi="Arial" w:cs="Arial"/>
          <w:color w:val="000000"/>
          <w:kern w:val="0"/>
          <w:sz w:val="20"/>
          <w:szCs w:val="20"/>
          <w:lang w:eastAsia="en-IN"/>
          <w14:ligatures w14:val="none"/>
        </w:rPr>
        <w:t>NaBFID</w:t>
      </w:r>
      <w:proofErr w:type="spellEnd"/>
      <w:r w:rsidRPr="005A604C">
        <w:rPr>
          <w:rFonts w:ascii="Arial" w:eastAsia="Times New Roman" w:hAnsi="Arial" w:cs="Arial"/>
          <w:color w:val="000000"/>
          <w:kern w:val="0"/>
          <w:sz w:val="20"/>
          <w:szCs w:val="20"/>
          <w:lang w:eastAsia="en-IN"/>
          <w14:ligatures w14:val="none"/>
        </w:rPr>
        <w:t>)</w:t>
      </w:r>
    </w:p>
    <w:p w14:paraId="28A6E964"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Madam / Dear Sir,</w:t>
      </w:r>
    </w:p>
    <w:p w14:paraId="26546EBB" w14:textId="77777777" w:rsidR="005A604C" w:rsidRPr="005A604C" w:rsidRDefault="005A604C" w:rsidP="005A604C">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5A604C">
        <w:rPr>
          <w:rFonts w:ascii="Arial" w:eastAsia="Times New Roman" w:hAnsi="Arial" w:cs="Arial"/>
          <w:b/>
          <w:bCs/>
          <w:color w:val="000000"/>
          <w:kern w:val="0"/>
          <w:sz w:val="20"/>
          <w:szCs w:val="20"/>
          <w:lang w:eastAsia="en-IN"/>
          <w14:ligatures w14:val="none"/>
        </w:rPr>
        <w:t>Fair Lending Practice - Penal Charges in Loan Accounts</w:t>
      </w:r>
    </w:p>
    <w:p w14:paraId="1028C7C4"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14:paraId="078456CA"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14:paraId="7B0239C7"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3. On a review of the practices followed by REs for charging penal interest/charges on loans, the following instructions are issued for adoption.</w:t>
      </w:r>
    </w:p>
    <w:p w14:paraId="1F6F828D"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w:t>
      </w:r>
      <w:proofErr w:type="spellStart"/>
      <w:r w:rsidRPr="005A604C">
        <w:rPr>
          <w:rFonts w:ascii="Arial" w:eastAsia="Times New Roman" w:hAnsi="Arial" w:cs="Arial"/>
          <w:color w:val="000000"/>
          <w:kern w:val="0"/>
          <w:sz w:val="20"/>
          <w:szCs w:val="20"/>
          <w:lang w:eastAsia="en-IN"/>
          <w14:ligatures w14:val="none"/>
        </w:rPr>
        <w:t>i</w:t>
      </w:r>
      <w:proofErr w:type="spellEnd"/>
      <w:r w:rsidRPr="005A604C">
        <w:rPr>
          <w:rFonts w:ascii="Arial" w:eastAsia="Times New Roman" w:hAnsi="Arial" w:cs="Arial"/>
          <w:color w:val="000000"/>
          <w:kern w:val="0"/>
          <w:sz w:val="20"/>
          <w:szCs w:val="20"/>
          <w:lang w:eastAsia="en-IN"/>
          <w14:ligatures w14:val="none"/>
        </w:rPr>
        <w:t>)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14:paraId="13F02D6C"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(ii) The REs shall not introduce any additional component to the rate of interest and ensure compliance to these guidelines in both letter and spirit.</w:t>
      </w:r>
    </w:p>
    <w:p w14:paraId="000B45AE"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(iii) The REs shall formulate a Board approved policy on penal charges or similar charges on loans, by whatever name called.</w:t>
      </w:r>
    </w:p>
    <w:p w14:paraId="4B7CD597"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(iv) The quantum of penal charges shall be reasonable and commensurate with the non-compliance of material terms and conditions of loan contract without being discriminatory within a particular loan / product category.</w:t>
      </w:r>
    </w:p>
    <w:p w14:paraId="0F1AD03C"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(v) The penal charges in case of loans sanctioned to ‘individual borrowers, for purposes other than business’, shall not be higher than the penal charges applicable to non-individual borrowers for similar non-compliance of material terms and conditions.</w:t>
      </w:r>
    </w:p>
    <w:p w14:paraId="12B34EC3"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14:paraId="03E154D4"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lastRenderedPageBreak/>
        <w:t>(vii) Whenever reminders for non-compliance of material terms and conditions of loan are sent to borrowers, the applicable penal charges shall be communicated. Further, any instance of levy of penal charges and the reason therefor shall also be communicated.</w:t>
      </w:r>
    </w:p>
    <w:p w14:paraId="767FEF27"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14:paraId="25069678"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REs. The list of amendments to the Master Directions / Master Circulars has been provided in the </w:t>
      </w:r>
      <w:hyperlink r:id="rId10" w:anchor="AS" w:history="1">
        <w:r w:rsidRPr="005A604C">
          <w:rPr>
            <w:rFonts w:ascii="Arial" w:eastAsia="Times New Roman" w:hAnsi="Arial" w:cs="Arial"/>
            <w:color w:val="0000FF"/>
            <w:kern w:val="0"/>
            <w:sz w:val="20"/>
            <w:szCs w:val="20"/>
            <w:u w:val="single"/>
            <w:lang w:eastAsia="en-IN"/>
            <w14:ligatures w14:val="none"/>
          </w:rPr>
          <w:t>Annex</w:t>
        </w:r>
      </w:hyperlink>
      <w:r w:rsidRPr="005A604C">
        <w:rPr>
          <w:rFonts w:ascii="Arial" w:eastAsia="Times New Roman" w:hAnsi="Arial" w:cs="Arial"/>
          <w:color w:val="000000"/>
          <w:kern w:val="0"/>
          <w:sz w:val="20"/>
          <w:szCs w:val="20"/>
          <w:lang w:eastAsia="en-IN"/>
          <w14:ligatures w14:val="none"/>
        </w:rPr>
        <w:t>.</w:t>
      </w:r>
    </w:p>
    <w:p w14:paraId="08C73145"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5. These instructions shall, however, not apply to Credit Cards, External Commercial Borrowings, Trade Credits and Structured Obligations which are covered under product specific directions.</w:t>
      </w:r>
    </w:p>
    <w:p w14:paraId="5CB9D5F8"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Yours faithfully,</w:t>
      </w:r>
    </w:p>
    <w:p w14:paraId="605263E2" w14:textId="77777777" w:rsidR="005A604C" w:rsidRPr="005A604C" w:rsidRDefault="005A604C" w:rsidP="005A604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 xml:space="preserve">(Santosh Kumar </w:t>
      </w:r>
      <w:proofErr w:type="spellStart"/>
      <w:r w:rsidRPr="005A604C">
        <w:rPr>
          <w:rFonts w:ascii="Arial" w:eastAsia="Times New Roman" w:hAnsi="Arial" w:cs="Arial"/>
          <w:color w:val="000000"/>
          <w:kern w:val="0"/>
          <w:sz w:val="20"/>
          <w:szCs w:val="20"/>
          <w:lang w:eastAsia="en-IN"/>
          <w14:ligatures w14:val="none"/>
        </w:rPr>
        <w:t>Panigrahy</w:t>
      </w:r>
      <w:proofErr w:type="spellEnd"/>
      <w:r w:rsidRPr="005A604C">
        <w:rPr>
          <w:rFonts w:ascii="Arial" w:eastAsia="Times New Roman" w:hAnsi="Arial" w:cs="Arial"/>
          <w:color w:val="000000"/>
          <w:kern w:val="0"/>
          <w:sz w:val="20"/>
          <w:szCs w:val="20"/>
          <w:lang w:eastAsia="en-IN"/>
          <w14:ligatures w14:val="none"/>
        </w:rPr>
        <w:t>)</w:t>
      </w:r>
      <w:r w:rsidRPr="005A604C">
        <w:rPr>
          <w:rFonts w:ascii="Arial" w:eastAsia="Times New Roman" w:hAnsi="Arial" w:cs="Arial"/>
          <w:color w:val="000000"/>
          <w:kern w:val="0"/>
          <w:sz w:val="20"/>
          <w:szCs w:val="20"/>
          <w:lang w:eastAsia="en-IN"/>
          <w14:ligatures w14:val="none"/>
        </w:rPr>
        <w:br/>
        <w:t>Chief General Manager</w:t>
      </w:r>
    </w:p>
    <w:p w14:paraId="53CEB84E" w14:textId="77777777" w:rsidR="005A604C" w:rsidRPr="005A604C" w:rsidRDefault="005A604C" w:rsidP="005A604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5A604C">
        <w:rPr>
          <w:rFonts w:ascii="Arial" w:eastAsia="Times New Roman" w:hAnsi="Arial" w:cs="Arial"/>
          <w:color w:val="000000"/>
          <w:kern w:val="0"/>
          <w:sz w:val="20"/>
          <w:szCs w:val="20"/>
          <w:lang w:eastAsia="en-IN"/>
          <w14:ligatures w14:val="none"/>
        </w:rPr>
        <w:t>Encl</w:t>
      </w:r>
      <w:proofErr w:type="spellEnd"/>
      <w:r w:rsidRPr="005A604C">
        <w:rPr>
          <w:rFonts w:ascii="Arial" w:eastAsia="Times New Roman" w:hAnsi="Arial" w:cs="Arial"/>
          <w:color w:val="000000"/>
          <w:kern w:val="0"/>
          <w:sz w:val="20"/>
          <w:szCs w:val="20"/>
          <w:lang w:eastAsia="en-IN"/>
          <w14:ligatures w14:val="none"/>
        </w:rPr>
        <w:t>: As above</w:t>
      </w:r>
    </w:p>
    <w:p w14:paraId="6089BE77" w14:textId="77777777" w:rsidR="005A604C" w:rsidRDefault="005A604C"/>
    <w:p w14:paraId="0507C334" w14:textId="77777777" w:rsidR="004D6DF7" w:rsidRDefault="004D6DF7"/>
    <w:p w14:paraId="27E54219" w14:textId="77777777" w:rsidR="004D6DF7" w:rsidRDefault="004D6DF7"/>
    <w:p w14:paraId="3612A0FB" w14:textId="77777777" w:rsidR="004D6DF7" w:rsidRDefault="004D6DF7"/>
    <w:p w14:paraId="3D3A7669" w14:textId="77777777" w:rsidR="00057271" w:rsidRDefault="00057271">
      <w:r w:rsidRPr="00057271">
        <w:t>For more details, Kindly refer:</w:t>
      </w:r>
    </w:p>
    <w:p w14:paraId="0DFD9C2B" w14:textId="37F49665" w:rsidR="004D6DF7" w:rsidRDefault="00A71B1B">
      <w:hyperlink r:id="rId11" w:history="1">
        <w:r w:rsidR="005A604C" w:rsidRPr="009F155A">
          <w:rPr>
            <w:rStyle w:val="Hyperlink"/>
          </w:rPr>
          <w:t>https://rbi.org.in/Scripts/NotificationUser.aspx?Id=12527&amp;Mode=0</w:t>
        </w:r>
      </w:hyperlink>
    </w:p>
    <w:p w14:paraId="29E8540D" w14:textId="74A582A2" w:rsidR="005A604C" w:rsidRDefault="005A604C"/>
    <w:p w14:paraId="0C91852E" w14:textId="45AEE0CB" w:rsidR="005A604C" w:rsidRDefault="005A604C"/>
    <w:p w14:paraId="60F2B698" w14:textId="5A53BFCE" w:rsidR="005A604C" w:rsidRDefault="005A604C"/>
    <w:p w14:paraId="59F232D4" w14:textId="3B94C58F" w:rsidR="005A604C" w:rsidRDefault="005A604C"/>
    <w:p w14:paraId="556BD0EB" w14:textId="243ABCA3" w:rsidR="005A604C" w:rsidRDefault="005A604C"/>
    <w:p w14:paraId="7C6376F4" w14:textId="0ED76242" w:rsidR="005A604C" w:rsidRDefault="005A604C"/>
    <w:p w14:paraId="77E13BF0" w14:textId="16C56EB6" w:rsidR="005A604C" w:rsidRDefault="005A604C"/>
    <w:p w14:paraId="2F34EDCC" w14:textId="1C936EFF" w:rsidR="005A604C" w:rsidRDefault="005A604C"/>
    <w:p w14:paraId="5F15F5D7" w14:textId="688524B3" w:rsidR="005A604C" w:rsidRDefault="005A604C"/>
    <w:p w14:paraId="56DDE0EF" w14:textId="190B1EF9" w:rsidR="005A604C" w:rsidRDefault="005A604C"/>
    <w:p w14:paraId="5AAFEA62" w14:textId="29BF86B9" w:rsidR="005A604C" w:rsidRDefault="005A604C"/>
    <w:p w14:paraId="33A027DF" w14:textId="21C71FA6" w:rsidR="005A604C" w:rsidRPr="00272E7F" w:rsidRDefault="00272E7F" w:rsidP="00272E7F">
      <w:pPr>
        <w:jc w:val="both"/>
        <w:rPr>
          <w:b/>
        </w:rPr>
      </w:pPr>
      <w:r w:rsidRPr="005A604C">
        <w:rPr>
          <w:rFonts w:ascii="Calibri" w:eastAsia="Times New Roman" w:hAnsi="Calibri" w:cs="Calibri"/>
          <w:b/>
          <w:color w:val="000000"/>
          <w:kern w:val="0"/>
          <w:sz w:val="24"/>
          <w:szCs w:val="24"/>
          <w:lang w:eastAsia="en-IN"/>
          <w14:ligatures w14:val="none"/>
        </w:rPr>
        <w:lastRenderedPageBreak/>
        <w:t>Reset of Floating Interest Rate on Equated Monthly Instalments (EMI) based Personal Loans</w:t>
      </w:r>
    </w:p>
    <w:p w14:paraId="3B52EE85" w14:textId="3A04D7DF" w:rsidR="005A604C" w:rsidRDefault="005A604C"/>
    <w:p w14:paraId="5778E094"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RBI/2023-24/55</w:t>
      </w:r>
      <w:r w:rsidRPr="00456535">
        <w:rPr>
          <w:rFonts w:ascii="Arial" w:eastAsia="Times New Roman" w:hAnsi="Arial" w:cs="Arial"/>
          <w:color w:val="000000"/>
          <w:kern w:val="0"/>
          <w:sz w:val="20"/>
          <w:szCs w:val="20"/>
          <w:lang w:eastAsia="en-IN"/>
          <w14:ligatures w14:val="none"/>
        </w:rPr>
        <w:br/>
        <w:t>DOR.MCS.REC.32/01.01.003/2023-24</w:t>
      </w:r>
    </w:p>
    <w:p w14:paraId="534C632F" w14:textId="77777777" w:rsidR="00456535" w:rsidRPr="00456535" w:rsidRDefault="00456535" w:rsidP="00456535">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August 18, 2023</w:t>
      </w:r>
    </w:p>
    <w:p w14:paraId="3485DE9D"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All Scheduled Commercial Banks</w:t>
      </w:r>
      <w:r w:rsidRPr="00456535">
        <w:rPr>
          <w:rFonts w:ascii="Arial" w:eastAsia="Times New Roman" w:hAnsi="Arial" w:cs="Arial"/>
          <w:color w:val="000000"/>
          <w:kern w:val="0"/>
          <w:sz w:val="20"/>
          <w:szCs w:val="20"/>
          <w:lang w:eastAsia="en-IN"/>
          <w14:ligatures w14:val="none"/>
        </w:rPr>
        <w:br/>
        <w:t>Regional Rural Banks</w:t>
      </w:r>
      <w:r w:rsidRPr="00456535">
        <w:rPr>
          <w:rFonts w:ascii="Arial" w:eastAsia="Times New Roman" w:hAnsi="Arial" w:cs="Arial"/>
          <w:color w:val="000000"/>
          <w:kern w:val="0"/>
          <w:sz w:val="20"/>
          <w:szCs w:val="20"/>
          <w:lang w:eastAsia="en-IN"/>
          <w14:ligatures w14:val="none"/>
        </w:rPr>
        <w:br/>
        <w:t>Primary (Urban) Co-operative Banks</w:t>
      </w:r>
      <w:r w:rsidRPr="00456535">
        <w:rPr>
          <w:rFonts w:ascii="Arial" w:eastAsia="Times New Roman" w:hAnsi="Arial" w:cs="Arial"/>
          <w:color w:val="000000"/>
          <w:kern w:val="0"/>
          <w:sz w:val="20"/>
          <w:szCs w:val="20"/>
          <w:lang w:eastAsia="en-IN"/>
          <w14:ligatures w14:val="none"/>
        </w:rPr>
        <w:br/>
        <w:t>State Co-operative Banks and District Central Co-operative Banks</w:t>
      </w:r>
      <w:r w:rsidRPr="00456535">
        <w:rPr>
          <w:rFonts w:ascii="Arial" w:eastAsia="Times New Roman" w:hAnsi="Arial" w:cs="Arial"/>
          <w:color w:val="000000"/>
          <w:kern w:val="0"/>
          <w:sz w:val="20"/>
          <w:szCs w:val="20"/>
          <w:lang w:eastAsia="en-IN"/>
          <w14:ligatures w14:val="none"/>
        </w:rPr>
        <w:br/>
        <w:t>Non-Banking Financial Companies (including Housing Finance Companies)</w:t>
      </w:r>
    </w:p>
    <w:p w14:paraId="0EB9ED07"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Madam / Dear Sir,</w:t>
      </w:r>
    </w:p>
    <w:p w14:paraId="0DC6DDAB"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Reset of Floating Interest Rate on Equated Monthly Instalments (EMI) based Personal Loans</w:t>
      </w:r>
      <w:hyperlink r:id="rId12" w:anchor="F1" w:history="1">
        <w:r w:rsidRPr="00456535">
          <w:rPr>
            <w:rFonts w:ascii="Arial" w:eastAsia="Times New Roman" w:hAnsi="Arial" w:cs="Arial"/>
            <w:b/>
            <w:bCs/>
            <w:color w:val="0000FF"/>
            <w:kern w:val="0"/>
            <w:sz w:val="15"/>
            <w:szCs w:val="15"/>
            <w:u w:val="single"/>
            <w:vertAlign w:val="superscript"/>
            <w:lang w:eastAsia="en-IN"/>
            <w14:ligatures w14:val="none"/>
          </w:rPr>
          <w:t>1</w:t>
        </w:r>
      </w:hyperlink>
    </w:p>
    <w:p w14:paraId="21329E79"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Please refer to our </w:t>
      </w:r>
      <w:hyperlink r:id="rId13" w:tgtFrame="_blank" w:history="1">
        <w:r w:rsidRPr="00456535">
          <w:rPr>
            <w:rFonts w:ascii="Arial" w:eastAsia="Times New Roman" w:hAnsi="Arial" w:cs="Arial"/>
            <w:color w:val="0000FF"/>
            <w:kern w:val="0"/>
            <w:sz w:val="20"/>
            <w:szCs w:val="20"/>
            <w:u w:val="single"/>
            <w:lang w:eastAsia="en-IN"/>
            <w14:ligatures w14:val="none"/>
          </w:rPr>
          <w:t>circular no. DBR.No.Dir.BC.10/13.03.00/2015-16 dated July 01, 2015</w:t>
        </w:r>
      </w:hyperlink>
      <w:r w:rsidRPr="00456535">
        <w:rPr>
          <w:rFonts w:ascii="Arial" w:eastAsia="Times New Roman" w:hAnsi="Arial" w:cs="Arial"/>
          <w:color w:val="000000"/>
          <w:kern w:val="0"/>
          <w:sz w:val="20"/>
          <w:szCs w:val="20"/>
          <w:lang w:eastAsia="en-IN"/>
          <w14:ligatures w14:val="none"/>
        </w:rPr>
        <w:t>, </w:t>
      </w:r>
      <w:hyperlink r:id="rId14" w:tgtFrame="_blank" w:history="1">
        <w:r w:rsidRPr="00456535">
          <w:rPr>
            <w:rFonts w:ascii="Arial" w:eastAsia="Times New Roman" w:hAnsi="Arial" w:cs="Arial"/>
            <w:color w:val="0000FF"/>
            <w:kern w:val="0"/>
            <w:sz w:val="20"/>
            <w:szCs w:val="20"/>
            <w:u w:val="single"/>
            <w:lang w:eastAsia="en-IN"/>
            <w14:ligatures w14:val="none"/>
          </w:rPr>
          <w:t>Master Directions no. DNBR.PD.007/03.10.119/2016-17 dated September 01, 2016</w:t>
        </w:r>
      </w:hyperlink>
      <w:r w:rsidRPr="00456535">
        <w:rPr>
          <w:rFonts w:ascii="Arial" w:eastAsia="Times New Roman" w:hAnsi="Arial" w:cs="Arial"/>
          <w:color w:val="000000"/>
          <w:kern w:val="0"/>
          <w:sz w:val="20"/>
          <w:szCs w:val="20"/>
          <w:lang w:eastAsia="en-IN"/>
          <w14:ligatures w14:val="none"/>
        </w:rPr>
        <w:t>, </w:t>
      </w:r>
      <w:hyperlink r:id="rId15" w:tgtFrame="_blank" w:history="1">
        <w:r w:rsidRPr="00456535">
          <w:rPr>
            <w:rFonts w:ascii="Arial" w:eastAsia="Times New Roman" w:hAnsi="Arial" w:cs="Arial"/>
            <w:color w:val="0000FF"/>
            <w:kern w:val="0"/>
            <w:sz w:val="20"/>
            <w:szCs w:val="20"/>
            <w:u w:val="single"/>
            <w:lang w:eastAsia="en-IN"/>
            <w14:ligatures w14:val="none"/>
          </w:rPr>
          <w:t>DNBR.PD.008/03.10.119/2016-17 dated September 01, 2016</w:t>
        </w:r>
      </w:hyperlink>
      <w:r w:rsidRPr="00456535">
        <w:rPr>
          <w:rFonts w:ascii="Arial" w:eastAsia="Times New Roman" w:hAnsi="Arial" w:cs="Arial"/>
          <w:color w:val="000000"/>
          <w:kern w:val="0"/>
          <w:sz w:val="20"/>
          <w:szCs w:val="20"/>
          <w:lang w:eastAsia="en-IN"/>
          <w14:ligatures w14:val="none"/>
        </w:rPr>
        <w:t> and </w:t>
      </w:r>
      <w:hyperlink r:id="rId16" w:tgtFrame="_blank" w:history="1">
        <w:r w:rsidRPr="00456535">
          <w:rPr>
            <w:rFonts w:ascii="Arial" w:eastAsia="Times New Roman" w:hAnsi="Arial" w:cs="Arial"/>
            <w:color w:val="0000FF"/>
            <w:kern w:val="0"/>
            <w:sz w:val="20"/>
            <w:szCs w:val="20"/>
            <w:u w:val="single"/>
            <w:lang w:eastAsia="en-IN"/>
            <w14:ligatures w14:val="none"/>
          </w:rPr>
          <w:t>DOR.FIN.HFC.CC.No.120/03.10.136/2020-21 dated February 17, 2021</w:t>
        </w:r>
      </w:hyperlink>
      <w:r w:rsidRPr="00456535">
        <w:rPr>
          <w:rFonts w:ascii="Arial" w:eastAsia="Times New Roman" w:hAnsi="Arial" w:cs="Arial"/>
          <w:color w:val="000000"/>
          <w:kern w:val="0"/>
          <w:sz w:val="20"/>
          <w:szCs w:val="20"/>
          <w:lang w:eastAsia="en-IN"/>
          <w14:ligatures w14:val="none"/>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14:paraId="2DF64806"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14:paraId="5C35CD45" w14:textId="77777777" w:rsidR="00456535" w:rsidRPr="00456535" w:rsidRDefault="00456535" w:rsidP="00456535">
      <w:pPr>
        <w:numPr>
          <w:ilvl w:val="0"/>
          <w:numId w:val="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14:paraId="1710A7A9" w14:textId="77777777" w:rsidR="00456535" w:rsidRPr="00456535" w:rsidRDefault="00456535" w:rsidP="00456535">
      <w:pPr>
        <w:numPr>
          <w:ilvl w:val="0"/>
          <w:numId w:val="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14:paraId="74FCBED4" w14:textId="77777777" w:rsidR="00456535" w:rsidRPr="00456535" w:rsidRDefault="00456535" w:rsidP="00456535">
      <w:pPr>
        <w:numPr>
          <w:ilvl w:val="0"/>
          <w:numId w:val="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The borrowers shall also be given the choice to opt for (</w:t>
      </w:r>
      <w:proofErr w:type="spellStart"/>
      <w:r w:rsidRPr="00456535">
        <w:rPr>
          <w:rFonts w:ascii="Arial" w:eastAsia="Times New Roman" w:hAnsi="Arial" w:cs="Arial"/>
          <w:color w:val="000000"/>
          <w:kern w:val="0"/>
          <w:sz w:val="20"/>
          <w:szCs w:val="20"/>
          <w:lang w:eastAsia="en-IN"/>
          <w14:ligatures w14:val="none"/>
        </w:rPr>
        <w:t>i</w:t>
      </w:r>
      <w:proofErr w:type="spellEnd"/>
      <w:r w:rsidRPr="00456535">
        <w:rPr>
          <w:rFonts w:ascii="Arial" w:eastAsia="Times New Roman" w:hAnsi="Arial" w:cs="Arial"/>
          <w:color w:val="000000"/>
          <w:kern w:val="0"/>
          <w:sz w:val="20"/>
          <w:szCs w:val="20"/>
          <w:lang w:eastAsia="en-IN"/>
          <w14:ligatures w14:val="none"/>
        </w:rPr>
        <w:t>) enhancement in EMI or elongation of tenor or for a combination of both options; and, (ii) to prepay, either in part or in full, at any point during the tenor of the loan. Levy of foreclosure charges/ pre-payment penalty shall be subject to extant instructions.</w:t>
      </w:r>
    </w:p>
    <w:p w14:paraId="1F31D350" w14:textId="77777777" w:rsidR="00456535" w:rsidRPr="00456535" w:rsidRDefault="00456535" w:rsidP="00456535">
      <w:pPr>
        <w:numPr>
          <w:ilvl w:val="0"/>
          <w:numId w:val="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14:paraId="5584671F" w14:textId="77777777" w:rsidR="00456535" w:rsidRPr="00456535" w:rsidRDefault="00456535" w:rsidP="00456535">
      <w:pPr>
        <w:numPr>
          <w:ilvl w:val="0"/>
          <w:numId w:val="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REs shall ensure that the elongation of tenor in case of floating rate loan does not result in negative amortisation.</w:t>
      </w:r>
    </w:p>
    <w:p w14:paraId="5374FFE7" w14:textId="77777777" w:rsidR="00456535" w:rsidRPr="00456535" w:rsidRDefault="00456535" w:rsidP="00456535">
      <w:pPr>
        <w:numPr>
          <w:ilvl w:val="0"/>
          <w:numId w:val="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14:paraId="4A8A337C"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lastRenderedPageBreak/>
        <w:t>3. Apart from the equated monthly instalment loans, these instructions would also apply, mutatis mutandis, to all equated instalment based loans of different periodicities. In case of loans linked to an external benchmark under the External Benchmark Lending Rate (EBLR) regime, the banks should follow extant instructions and also put in place adequate information systems to monitor transmission of changes in the benchmark rate to the lending rate.</w:t>
      </w:r>
    </w:p>
    <w:p w14:paraId="32E5EB79"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4. REs shall ensure that the above instructions are extended to the existing as well as new loans suitably by December 31, 2023. All existing borrowers shall be sent a communication, through appropriate channels, intimating the options available to them.</w:t>
      </w:r>
    </w:p>
    <w:p w14:paraId="3987491D"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5. The above instructions are issued under sections 21, 35A and 56 of the Banking Regulation Act, 1949, sections 45JA, 45L and 45M of the Reserve Bank of India Act, 1934, and sections 30A and 32 of the National Housing Bank Act, 1987.</w:t>
      </w:r>
    </w:p>
    <w:p w14:paraId="160CB44E"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Yours faithfully</w:t>
      </w:r>
    </w:p>
    <w:p w14:paraId="006DD4DA"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 xml:space="preserve">Santosh Kumar </w:t>
      </w:r>
      <w:proofErr w:type="spellStart"/>
      <w:r w:rsidRPr="00456535">
        <w:rPr>
          <w:rFonts w:ascii="Arial" w:eastAsia="Times New Roman" w:hAnsi="Arial" w:cs="Arial"/>
          <w:color w:val="000000"/>
          <w:kern w:val="0"/>
          <w:sz w:val="20"/>
          <w:szCs w:val="20"/>
          <w:lang w:eastAsia="en-IN"/>
          <w14:ligatures w14:val="none"/>
        </w:rPr>
        <w:t>Panigrahy</w:t>
      </w:r>
      <w:proofErr w:type="spellEnd"/>
      <w:r w:rsidRPr="00456535">
        <w:rPr>
          <w:rFonts w:ascii="Arial" w:eastAsia="Times New Roman" w:hAnsi="Arial" w:cs="Arial"/>
          <w:color w:val="000000"/>
          <w:kern w:val="0"/>
          <w:sz w:val="20"/>
          <w:szCs w:val="20"/>
          <w:lang w:eastAsia="en-IN"/>
          <w14:ligatures w14:val="none"/>
        </w:rPr>
        <w:br/>
        <w:t>(Chief General Manager)</w:t>
      </w:r>
    </w:p>
    <w:p w14:paraId="66DA6A90" w14:textId="77777777" w:rsidR="005A604C" w:rsidRDefault="005A604C"/>
    <w:p w14:paraId="6336501E" w14:textId="77777777" w:rsidR="004D6DF7" w:rsidRDefault="004D6DF7"/>
    <w:p w14:paraId="339F5C4C" w14:textId="77777777" w:rsidR="004D6DF7" w:rsidRDefault="004D6DF7"/>
    <w:p w14:paraId="5D1CC86F" w14:textId="77777777" w:rsidR="004D6DF7" w:rsidRDefault="004D6DF7"/>
    <w:p w14:paraId="3A540A82" w14:textId="77777777" w:rsidR="00057271" w:rsidRDefault="00057271">
      <w:r w:rsidRPr="00057271">
        <w:t>For more details, Kindly refer:</w:t>
      </w:r>
    </w:p>
    <w:p w14:paraId="42D3BBFD" w14:textId="58186127" w:rsidR="004D6DF7" w:rsidRDefault="00A71B1B">
      <w:hyperlink r:id="rId17" w:history="1">
        <w:r w:rsidR="00456535" w:rsidRPr="009F155A">
          <w:rPr>
            <w:rStyle w:val="Hyperlink"/>
          </w:rPr>
          <w:t>https://rbi.org.in/Scripts/NotificationUser.aspx?Id=12529&amp;Mode=0</w:t>
        </w:r>
      </w:hyperlink>
    </w:p>
    <w:p w14:paraId="774F8E25" w14:textId="0E4B9170" w:rsidR="00456535" w:rsidRDefault="00456535"/>
    <w:p w14:paraId="0417347B" w14:textId="09450E68" w:rsidR="00456535" w:rsidRDefault="00456535"/>
    <w:p w14:paraId="39465657" w14:textId="5A6B2809" w:rsidR="00456535" w:rsidRDefault="00456535"/>
    <w:p w14:paraId="5BEBD8B4" w14:textId="01E55FC4" w:rsidR="00456535" w:rsidRDefault="00456535"/>
    <w:p w14:paraId="579784AB" w14:textId="6AC9833D" w:rsidR="00456535" w:rsidRDefault="00456535"/>
    <w:p w14:paraId="4FBCBA50" w14:textId="16447258" w:rsidR="00456535" w:rsidRDefault="00456535"/>
    <w:p w14:paraId="5AE3674B" w14:textId="60FE9377" w:rsidR="00456535" w:rsidRDefault="00456535"/>
    <w:p w14:paraId="216C39AA" w14:textId="4FECE4C8" w:rsidR="00456535" w:rsidRDefault="00456535"/>
    <w:p w14:paraId="4E11A512" w14:textId="15F68A45" w:rsidR="00456535" w:rsidRDefault="00456535"/>
    <w:p w14:paraId="2E232DAB" w14:textId="169BC03B" w:rsidR="00456535" w:rsidRDefault="00456535"/>
    <w:p w14:paraId="702A595E" w14:textId="23B3655C" w:rsidR="00456535" w:rsidRDefault="00456535"/>
    <w:p w14:paraId="344437CA" w14:textId="381D1128" w:rsidR="00456535" w:rsidRDefault="00456535"/>
    <w:p w14:paraId="4E27FE07" w14:textId="6F492BDB" w:rsidR="00456535" w:rsidRDefault="00456535"/>
    <w:p w14:paraId="65245E2D" w14:textId="3F3DDAA9" w:rsidR="00456535" w:rsidRDefault="00456535"/>
    <w:p w14:paraId="42FA57F7" w14:textId="190D7F04" w:rsidR="00456535" w:rsidRDefault="00456535"/>
    <w:p w14:paraId="728436C4" w14:textId="44DCF376" w:rsidR="00456535" w:rsidRPr="00272E7F" w:rsidRDefault="00272E7F" w:rsidP="00272E7F">
      <w:pPr>
        <w:jc w:val="both"/>
        <w:rPr>
          <w:b/>
        </w:rPr>
      </w:pPr>
      <w:r w:rsidRPr="005A604C">
        <w:rPr>
          <w:rFonts w:ascii="Calibri" w:eastAsia="Times New Roman" w:hAnsi="Calibri" w:cs="Calibri"/>
          <w:b/>
          <w:color w:val="000000"/>
          <w:kern w:val="0"/>
          <w:sz w:val="24"/>
          <w:szCs w:val="24"/>
          <w:lang w:eastAsia="en-IN"/>
          <w14:ligatures w14:val="none"/>
        </w:rPr>
        <w:lastRenderedPageBreak/>
        <w:t>Operation of Pre-Sanctioned Credit Lines at Banks through Unified Payments Interface (UPI)</w:t>
      </w:r>
    </w:p>
    <w:p w14:paraId="6A113B65"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RBI/2023-24/58</w:t>
      </w:r>
      <w:r w:rsidRPr="00456535">
        <w:rPr>
          <w:rFonts w:ascii="Arial" w:eastAsia="Times New Roman" w:hAnsi="Arial" w:cs="Arial"/>
          <w:color w:val="000000"/>
          <w:kern w:val="0"/>
          <w:sz w:val="20"/>
          <w:szCs w:val="20"/>
          <w:lang w:eastAsia="en-IN"/>
          <w14:ligatures w14:val="none"/>
        </w:rPr>
        <w:br/>
        <w:t>CO.DPSS.POLC.No.S-567/02-23-001/2023-2024</w:t>
      </w:r>
    </w:p>
    <w:p w14:paraId="32207665"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September 04, 2023</w:t>
      </w:r>
    </w:p>
    <w:p w14:paraId="226ADF54"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The Managing Director / Chief Executive Officer</w:t>
      </w:r>
      <w:r w:rsidRPr="00456535">
        <w:rPr>
          <w:rFonts w:ascii="Arial" w:eastAsia="Times New Roman" w:hAnsi="Arial" w:cs="Arial"/>
          <w:color w:val="000000"/>
          <w:kern w:val="0"/>
          <w:sz w:val="20"/>
          <w:szCs w:val="20"/>
          <w:lang w:eastAsia="en-IN"/>
          <w14:ligatures w14:val="none"/>
        </w:rPr>
        <w:br/>
        <w:t>Scheduled Commercial Banks (excluding Payment Banks, Small Finance Banks and Regional Rural Banks)</w:t>
      </w:r>
    </w:p>
    <w:p w14:paraId="79065CCC"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Madam / Dear Sir,</w:t>
      </w:r>
    </w:p>
    <w:p w14:paraId="042302A9"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Operation of Pre-Sanctioned Credit Lines at Banks through Unified Payments Interface (UPI)</w:t>
      </w:r>
    </w:p>
    <w:p w14:paraId="4E29CD4F"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Please refer to the </w:t>
      </w:r>
      <w:hyperlink r:id="rId18" w:tgtFrame="_blank" w:history="1">
        <w:r w:rsidRPr="00456535">
          <w:rPr>
            <w:rFonts w:ascii="Arial" w:eastAsia="Times New Roman" w:hAnsi="Arial" w:cs="Arial"/>
            <w:color w:val="0000FF"/>
            <w:kern w:val="0"/>
            <w:sz w:val="20"/>
            <w:szCs w:val="20"/>
            <w:u w:val="single"/>
            <w:lang w:eastAsia="en-IN"/>
            <w14:ligatures w14:val="none"/>
          </w:rPr>
          <w:t>Statement on Developmental and Regulatory Policies dated April 06, 2023</w:t>
        </w:r>
      </w:hyperlink>
      <w:r w:rsidRPr="00456535">
        <w:rPr>
          <w:rFonts w:ascii="Arial" w:eastAsia="Times New Roman" w:hAnsi="Arial" w:cs="Arial"/>
          <w:color w:val="000000"/>
          <w:kern w:val="0"/>
          <w:sz w:val="20"/>
          <w:szCs w:val="20"/>
          <w:lang w:eastAsia="en-IN"/>
          <w14:ligatures w14:val="none"/>
        </w:rPr>
        <w:t>, expanding the scope of UPI by enabling transfer to / from pre-sanctioned credit lines at banks. Currently, savings account, overdraft account, prepaid wallets and credit cards can be linked to UPI. As announced, the scope of UPI is now being expanded by inclusion of credit lines as a funding account.</w:t>
      </w:r>
    </w:p>
    <w:p w14:paraId="34B62737"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2. Under this facility, payments through a pre-sanctioned credit line issued by a Scheduled Commercial Bank to individuals, with prior consent of the individual customer, are enabled for transactions using the UPI System.</w:t>
      </w:r>
    </w:p>
    <w:p w14:paraId="4B0B48D0"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3. Banks may, as per their Board approved policy, stipulate terms and conditions of use of such credit lines. The terms may include, among other items, credit limit, period of credit, rate of interest, etc.</w:t>
      </w:r>
    </w:p>
    <w:p w14:paraId="0AF5399E"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4. This directive is issued under Section 10(2) read with Section 18 of the Payment and Settlement Systems Act, 2007 (Act 51 of 2007).</w:t>
      </w:r>
    </w:p>
    <w:p w14:paraId="7CB02502"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Yours faithfully,</w:t>
      </w:r>
    </w:p>
    <w:p w14:paraId="0C88A9ED"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w:t>
      </w:r>
      <w:proofErr w:type="spellStart"/>
      <w:r w:rsidRPr="00456535">
        <w:rPr>
          <w:rFonts w:ascii="Arial" w:eastAsia="Times New Roman" w:hAnsi="Arial" w:cs="Arial"/>
          <w:color w:val="000000"/>
          <w:kern w:val="0"/>
          <w:sz w:val="20"/>
          <w:szCs w:val="20"/>
          <w:lang w:eastAsia="en-IN"/>
          <w14:ligatures w14:val="none"/>
        </w:rPr>
        <w:t>Gunveer</w:t>
      </w:r>
      <w:proofErr w:type="spellEnd"/>
      <w:r w:rsidRPr="00456535">
        <w:rPr>
          <w:rFonts w:ascii="Arial" w:eastAsia="Times New Roman" w:hAnsi="Arial" w:cs="Arial"/>
          <w:color w:val="000000"/>
          <w:kern w:val="0"/>
          <w:sz w:val="20"/>
          <w:szCs w:val="20"/>
          <w:lang w:eastAsia="en-IN"/>
          <w14:ligatures w14:val="none"/>
        </w:rPr>
        <w:t xml:space="preserve"> Singh)</w:t>
      </w:r>
      <w:r w:rsidRPr="00456535">
        <w:rPr>
          <w:rFonts w:ascii="Arial" w:eastAsia="Times New Roman" w:hAnsi="Arial" w:cs="Arial"/>
          <w:color w:val="000000"/>
          <w:kern w:val="0"/>
          <w:sz w:val="20"/>
          <w:szCs w:val="20"/>
          <w:lang w:eastAsia="en-IN"/>
          <w14:ligatures w14:val="none"/>
        </w:rPr>
        <w:br/>
        <w:t>Chief General Manager-in-Charge</w:t>
      </w:r>
    </w:p>
    <w:p w14:paraId="2D4CBE43" w14:textId="71EBA7A9" w:rsidR="00456535" w:rsidRDefault="00456535"/>
    <w:p w14:paraId="788BF1EE" w14:textId="2BCD3B43" w:rsidR="00456535" w:rsidRDefault="00456535"/>
    <w:p w14:paraId="422C608E" w14:textId="77777777" w:rsidR="00057271" w:rsidRDefault="00057271">
      <w:r w:rsidRPr="00057271">
        <w:t>For more details, Kindly refer:</w:t>
      </w:r>
    </w:p>
    <w:p w14:paraId="6A5F95B1" w14:textId="5223CAEA" w:rsidR="00456535" w:rsidRDefault="00A71B1B">
      <w:hyperlink r:id="rId19" w:history="1">
        <w:r w:rsidR="00456535" w:rsidRPr="009F155A">
          <w:rPr>
            <w:rStyle w:val="Hyperlink"/>
          </w:rPr>
          <w:t>https://rbi.org.in/Scripts/NotificationUser.aspx?Id=12532&amp;Mode=0</w:t>
        </w:r>
      </w:hyperlink>
    </w:p>
    <w:p w14:paraId="2CED35DC" w14:textId="02C65E62" w:rsidR="00456535" w:rsidRDefault="00456535"/>
    <w:p w14:paraId="0F1F8449" w14:textId="47229E37" w:rsidR="00456535" w:rsidRDefault="00456535"/>
    <w:p w14:paraId="161C8F95" w14:textId="60BCF44F" w:rsidR="00456535" w:rsidRDefault="00456535"/>
    <w:p w14:paraId="4BF568D8" w14:textId="20C400C2" w:rsidR="00456535" w:rsidRDefault="00456535"/>
    <w:p w14:paraId="1A5DE799" w14:textId="1F8A993F" w:rsidR="00456535" w:rsidRDefault="00456535"/>
    <w:p w14:paraId="2325D65D" w14:textId="7D9D6468" w:rsidR="00456535" w:rsidRDefault="00456535"/>
    <w:p w14:paraId="1A21D395" w14:textId="1EBEC0E4" w:rsidR="00456535" w:rsidRDefault="00456535"/>
    <w:p w14:paraId="16FAA26E" w14:textId="283600E6" w:rsidR="00456535" w:rsidRDefault="00456535"/>
    <w:p w14:paraId="62ECE619" w14:textId="61F4B883" w:rsidR="00456535" w:rsidRPr="00272E7F" w:rsidRDefault="00272E7F" w:rsidP="00272E7F">
      <w:pPr>
        <w:jc w:val="both"/>
        <w:rPr>
          <w:b/>
        </w:rPr>
      </w:pPr>
      <w:r w:rsidRPr="005A604C">
        <w:rPr>
          <w:rFonts w:ascii="Calibri" w:eastAsia="Times New Roman" w:hAnsi="Calibri" w:cs="Calibri"/>
          <w:b/>
          <w:color w:val="000000"/>
          <w:kern w:val="0"/>
          <w:sz w:val="24"/>
          <w:szCs w:val="24"/>
          <w:lang w:eastAsia="en-IN"/>
          <w14:ligatures w14:val="none"/>
        </w:rPr>
        <w:lastRenderedPageBreak/>
        <w:t>Responsible Lending Conduct – Release of Movable / Immovable Property Documents on Repayment/ Settlement of Personal Loans</w:t>
      </w:r>
    </w:p>
    <w:p w14:paraId="55F5EBC5"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RBI/2023-24/60</w:t>
      </w:r>
      <w:r w:rsidRPr="00456535">
        <w:rPr>
          <w:rFonts w:ascii="Arial" w:eastAsia="Times New Roman" w:hAnsi="Arial" w:cs="Arial"/>
          <w:color w:val="000000"/>
          <w:kern w:val="0"/>
          <w:sz w:val="20"/>
          <w:szCs w:val="20"/>
          <w:lang w:eastAsia="en-IN"/>
          <w14:ligatures w14:val="none"/>
        </w:rPr>
        <w:br/>
        <w:t>DoR.MCS.REC.38/01.01.001/2023-24</w:t>
      </w:r>
    </w:p>
    <w:p w14:paraId="5662D5E5"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September 13, 2023</w:t>
      </w:r>
    </w:p>
    <w:p w14:paraId="28B494F3"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All Commercial Banks (including Small Finance Banks</w:t>
      </w:r>
      <w:r w:rsidRPr="00456535">
        <w:rPr>
          <w:rFonts w:ascii="Arial" w:eastAsia="Times New Roman" w:hAnsi="Arial" w:cs="Arial"/>
          <w:color w:val="000000"/>
          <w:kern w:val="0"/>
          <w:sz w:val="20"/>
          <w:szCs w:val="20"/>
          <w:lang w:eastAsia="en-IN"/>
          <w14:ligatures w14:val="none"/>
        </w:rPr>
        <w:br/>
        <w:t>and Regional Rural Banks, excluding Payments Banks)</w:t>
      </w:r>
      <w:r w:rsidRPr="00456535">
        <w:rPr>
          <w:rFonts w:ascii="Arial" w:eastAsia="Times New Roman" w:hAnsi="Arial" w:cs="Arial"/>
          <w:color w:val="000000"/>
          <w:kern w:val="0"/>
          <w:sz w:val="20"/>
          <w:szCs w:val="20"/>
          <w:lang w:eastAsia="en-IN"/>
          <w14:ligatures w14:val="none"/>
        </w:rPr>
        <w:br/>
        <w:t>All Local Area Banks</w:t>
      </w:r>
      <w:r w:rsidRPr="00456535">
        <w:rPr>
          <w:rFonts w:ascii="Arial" w:eastAsia="Times New Roman" w:hAnsi="Arial" w:cs="Arial"/>
          <w:color w:val="000000"/>
          <w:kern w:val="0"/>
          <w:sz w:val="20"/>
          <w:szCs w:val="20"/>
          <w:lang w:eastAsia="en-IN"/>
          <w14:ligatures w14:val="none"/>
        </w:rPr>
        <w:br/>
        <w:t>All Primary (Urban) Co-operative Banks</w:t>
      </w:r>
      <w:r w:rsidRPr="00456535">
        <w:rPr>
          <w:rFonts w:ascii="Arial" w:eastAsia="Times New Roman" w:hAnsi="Arial" w:cs="Arial"/>
          <w:color w:val="000000"/>
          <w:kern w:val="0"/>
          <w:sz w:val="20"/>
          <w:szCs w:val="20"/>
          <w:lang w:eastAsia="en-IN"/>
          <w14:ligatures w14:val="none"/>
        </w:rPr>
        <w:br/>
        <w:t>All State Co-operative Banks and District Central Co-operative Banks</w:t>
      </w:r>
      <w:r w:rsidRPr="00456535">
        <w:rPr>
          <w:rFonts w:ascii="Arial" w:eastAsia="Times New Roman" w:hAnsi="Arial" w:cs="Arial"/>
          <w:color w:val="000000"/>
          <w:kern w:val="0"/>
          <w:sz w:val="20"/>
          <w:szCs w:val="20"/>
          <w:lang w:eastAsia="en-IN"/>
          <w14:ligatures w14:val="none"/>
        </w:rPr>
        <w:br/>
        <w:t>All NBFCs (including HFCs)</w:t>
      </w:r>
      <w:r w:rsidRPr="00456535">
        <w:rPr>
          <w:rFonts w:ascii="Arial" w:eastAsia="Times New Roman" w:hAnsi="Arial" w:cs="Arial"/>
          <w:color w:val="000000"/>
          <w:kern w:val="0"/>
          <w:sz w:val="20"/>
          <w:szCs w:val="20"/>
          <w:lang w:eastAsia="en-IN"/>
          <w14:ligatures w14:val="none"/>
        </w:rPr>
        <w:br/>
        <w:t>All Asset Reconstruction Companies</w:t>
      </w:r>
    </w:p>
    <w:p w14:paraId="32C2F130"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Madam / Dear Sir,</w:t>
      </w:r>
    </w:p>
    <w:p w14:paraId="7BABA024"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Responsible Lending Conduct – Release of Movable / Immovable Property Documents on Repayment/ Settlement of Personal</w:t>
      </w:r>
      <w:hyperlink r:id="rId20" w:anchor="F1" w:history="1">
        <w:r w:rsidRPr="00456535">
          <w:rPr>
            <w:rFonts w:ascii="Arial" w:eastAsia="Times New Roman" w:hAnsi="Arial" w:cs="Arial"/>
            <w:b/>
            <w:bCs/>
            <w:color w:val="0000FF"/>
            <w:kern w:val="0"/>
            <w:sz w:val="15"/>
            <w:szCs w:val="15"/>
            <w:u w:val="single"/>
            <w:vertAlign w:val="superscript"/>
            <w:lang w:eastAsia="en-IN"/>
            <w14:ligatures w14:val="none"/>
          </w:rPr>
          <w:t>1</w:t>
        </w:r>
      </w:hyperlink>
      <w:r w:rsidRPr="00456535">
        <w:rPr>
          <w:rFonts w:ascii="Arial" w:eastAsia="Times New Roman" w:hAnsi="Arial" w:cs="Arial"/>
          <w:b/>
          <w:bCs/>
          <w:color w:val="000000"/>
          <w:kern w:val="0"/>
          <w:sz w:val="20"/>
          <w:szCs w:val="20"/>
          <w:lang w:eastAsia="en-IN"/>
          <w14:ligatures w14:val="none"/>
        </w:rPr>
        <w:t> Loans</w:t>
      </w:r>
    </w:p>
    <w:p w14:paraId="022B7FE4"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14:paraId="59D5F637"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Release of Movable / Immovable Property Documents</w:t>
      </w:r>
    </w:p>
    <w:p w14:paraId="00537228"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2. The REs shall release all the original movable / immovable property documents and remove charges registered with any registry within a period of 30 days after full repayment/ settlement of the loan account.</w:t>
      </w:r>
    </w:p>
    <w:p w14:paraId="1C4F084E"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14:paraId="1EFE4C6A"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4. The timeline and place of return of original movable / immovable property documents will be mentioned in the loan sanction letters issued on or after the effective date.</w:t>
      </w:r>
    </w:p>
    <w:p w14:paraId="1CC64997"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14:paraId="7E01D97A"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Compensation for delay in release of Movable / Immovable Property Documents</w:t>
      </w:r>
    </w:p>
    <w:p w14:paraId="2801234B"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14:paraId="4EB3C565"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w:t>
      </w:r>
      <w:r w:rsidRPr="00456535">
        <w:rPr>
          <w:rFonts w:ascii="Arial" w:eastAsia="Times New Roman" w:hAnsi="Arial" w:cs="Arial"/>
          <w:color w:val="000000"/>
          <w:kern w:val="0"/>
          <w:sz w:val="20"/>
          <w:szCs w:val="20"/>
          <w:lang w:eastAsia="en-IN"/>
          <w14:ligatures w14:val="none"/>
        </w:rPr>
        <w:lastRenderedPageBreak/>
        <w:t>indicated at paragraph 6 above. However, in such cases, an additional time of 30 days will be available to the REs to complete this procedure and the delayed period penalty will be calculated thereafter (i.e., after a total period of 60 days).</w:t>
      </w:r>
    </w:p>
    <w:p w14:paraId="61A882AA"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8. The compensation provided under these directions shall be without prejudice to the rights of a borrower to get any other compensation as per any applicable law.</w:t>
      </w:r>
    </w:p>
    <w:p w14:paraId="18A99ED5"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Applicability</w:t>
      </w:r>
    </w:p>
    <w:p w14:paraId="3E3F1A82"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9. These Directions shall be applicable to all cases where release of original movable / immovable property documents falls due on or after December 1, 2023.</w:t>
      </w:r>
    </w:p>
    <w:p w14:paraId="15E8D1DC"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10. The above Directions are issued under sections 21, 35A and 56 of the Banking Regulation Act, 1949, sections 45JA and 45L of the Reserve Bank of India Act, 1934, and section 30A of the National Housing Bank Act, 1987.</w:t>
      </w:r>
    </w:p>
    <w:p w14:paraId="1FC7963A"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Yours faithfully,</w:t>
      </w:r>
    </w:p>
    <w:p w14:paraId="46DAF67A"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 xml:space="preserve">(Santosh Kumar </w:t>
      </w:r>
      <w:proofErr w:type="spellStart"/>
      <w:r w:rsidRPr="00456535">
        <w:rPr>
          <w:rFonts w:ascii="Arial" w:eastAsia="Times New Roman" w:hAnsi="Arial" w:cs="Arial"/>
          <w:color w:val="000000"/>
          <w:kern w:val="0"/>
          <w:sz w:val="20"/>
          <w:szCs w:val="20"/>
          <w:lang w:eastAsia="en-IN"/>
          <w14:ligatures w14:val="none"/>
        </w:rPr>
        <w:t>Panigrahy</w:t>
      </w:r>
      <w:proofErr w:type="spellEnd"/>
      <w:r w:rsidRPr="00456535">
        <w:rPr>
          <w:rFonts w:ascii="Arial" w:eastAsia="Times New Roman" w:hAnsi="Arial" w:cs="Arial"/>
          <w:color w:val="000000"/>
          <w:kern w:val="0"/>
          <w:sz w:val="20"/>
          <w:szCs w:val="20"/>
          <w:lang w:eastAsia="en-IN"/>
          <w14:ligatures w14:val="none"/>
        </w:rPr>
        <w:t>)</w:t>
      </w:r>
      <w:r w:rsidRPr="00456535">
        <w:rPr>
          <w:rFonts w:ascii="Arial" w:eastAsia="Times New Roman" w:hAnsi="Arial" w:cs="Arial"/>
          <w:color w:val="000000"/>
          <w:kern w:val="0"/>
          <w:sz w:val="20"/>
          <w:szCs w:val="20"/>
          <w:lang w:eastAsia="en-IN"/>
          <w14:ligatures w14:val="none"/>
        </w:rPr>
        <w:br/>
        <w:t>Chief General Manager</w:t>
      </w:r>
    </w:p>
    <w:p w14:paraId="6AD6E7FA" w14:textId="592E8421" w:rsidR="00456535" w:rsidRDefault="00456535"/>
    <w:p w14:paraId="688FCFB6" w14:textId="24CD5F26" w:rsidR="00456535" w:rsidRDefault="00456535"/>
    <w:p w14:paraId="75C805CD" w14:textId="159370E0" w:rsidR="00456535" w:rsidRDefault="00456535"/>
    <w:p w14:paraId="591D5F32" w14:textId="77777777" w:rsidR="00057271" w:rsidRDefault="00057271">
      <w:r w:rsidRPr="00057271">
        <w:t>For more details, Kindly refer:</w:t>
      </w:r>
    </w:p>
    <w:p w14:paraId="545E0E53" w14:textId="389577B0" w:rsidR="00456535" w:rsidRDefault="00A71B1B">
      <w:hyperlink r:id="rId21" w:history="1">
        <w:r w:rsidR="00456535" w:rsidRPr="009F155A">
          <w:rPr>
            <w:rStyle w:val="Hyperlink"/>
          </w:rPr>
          <w:t>https://rbi.org.in/Scripts/NotificationUser.aspx?Id=12535&amp;Mode=0</w:t>
        </w:r>
      </w:hyperlink>
    </w:p>
    <w:p w14:paraId="6A35E2C7" w14:textId="1B42D171" w:rsidR="00456535" w:rsidRDefault="00456535"/>
    <w:p w14:paraId="6D698ABB" w14:textId="04FC07FF" w:rsidR="00456535" w:rsidRDefault="00456535"/>
    <w:p w14:paraId="53CB7004" w14:textId="3E953400" w:rsidR="00456535" w:rsidRDefault="00456535"/>
    <w:p w14:paraId="7CF8C913" w14:textId="6F46DF60" w:rsidR="00456535" w:rsidRDefault="00456535"/>
    <w:p w14:paraId="0CF46149" w14:textId="1644E74B" w:rsidR="00456535" w:rsidRDefault="00456535"/>
    <w:p w14:paraId="6C69DD71" w14:textId="346136E8" w:rsidR="00456535" w:rsidRDefault="00456535"/>
    <w:p w14:paraId="108429B1" w14:textId="394022C0" w:rsidR="00456535" w:rsidRDefault="00456535"/>
    <w:p w14:paraId="6C81E31C" w14:textId="4DF28E53" w:rsidR="00456535" w:rsidRDefault="00456535"/>
    <w:p w14:paraId="6D4AE862" w14:textId="6DC1D675" w:rsidR="00456535" w:rsidRDefault="00456535"/>
    <w:p w14:paraId="404D4535" w14:textId="6F64E216" w:rsidR="00456535" w:rsidRDefault="00456535"/>
    <w:p w14:paraId="0C424C0C" w14:textId="666C2B1E" w:rsidR="00456535" w:rsidRDefault="00456535"/>
    <w:p w14:paraId="5EBF1808" w14:textId="6409C797" w:rsidR="00456535" w:rsidRDefault="00456535"/>
    <w:p w14:paraId="663AE024" w14:textId="7BB5C1AE" w:rsidR="00456535" w:rsidRDefault="00456535"/>
    <w:p w14:paraId="06D4330A" w14:textId="15B6BFCE" w:rsidR="00456535" w:rsidRDefault="00456535"/>
    <w:p w14:paraId="372555FE" w14:textId="21CACC11" w:rsidR="00272E7F" w:rsidRPr="00456535" w:rsidRDefault="00272E7F" w:rsidP="00272E7F">
      <w:pPr>
        <w:spacing w:before="100" w:beforeAutospacing="1" w:after="100" w:afterAutospacing="1" w:line="240" w:lineRule="auto"/>
        <w:rPr>
          <w:rFonts w:eastAsia="Times New Roman" w:cstheme="minorHAnsi"/>
          <w:b/>
          <w:bCs/>
          <w:color w:val="000000"/>
          <w:kern w:val="0"/>
          <w:sz w:val="24"/>
          <w:szCs w:val="24"/>
          <w:lang w:eastAsia="en-IN"/>
          <w14:ligatures w14:val="none"/>
        </w:rPr>
      </w:pPr>
      <w:r w:rsidRPr="00456535">
        <w:rPr>
          <w:rFonts w:eastAsia="Times New Roman" w:cstheme="minorHAnsi"/>
          <w:b/>
          <w:bCs/>
          <w:color w:val="000000"/>
          <w:kern w:val="0"/>
          <w:sz w:val="24"/>
          <w:szCs w:val="24"/>
          <w:lang w:eastAsia="en-IN"/>
          <w14:ligatures w14:val="none"/>
        </w:rPr>
        <w:lastRenderedPageBreak/>
        <w:t xml:space="preserve">PM </w:t>
      </w:r>
      <w:proofErr w:type="spellStart"/>
      <w:r w:rsidRPr="00456535">
        <w:rPr>
          <w:rFonts w:eastAsia="Times New Roman" w:cstheme="minorHAnsi"/>
          <w:b/>
          <w:bCs/>
          <w:color w:val="000000"/>
          <w:kern w:val="0"/>
          <w:sz w:val="24"/>
          <w:szCs w:val="24"/>
          <w:lang w:eastAsia="en-IN"/>
          <w14:ligatures w14:val="none"/>
        </w:rPr>
        <w:t>Vishwakarma</w:t>
      </w:r>
      <w:proofErr w:type="spellEnd"/>
      <w:r w:rsidRPr="00456535">
        <w:rPr>
          <w:rFonts w:eastAsia="Times New Roman" w:cstheme="minorHAnsi"/>
          <w:b/>
          <w:bCs/>
          <w:color w:val="000000"/>
          <w:kern w:val="0"/>
          <w:sz w:val="24"/>
          <w:szCs w:val="24"/>
          <w:lang w:eastAsia="en-IN"/>
          <w14:ligatures w14:val="none"/>
        </w:rPr>
        <w:t xml:space="preserve"> Scheme</w:t>
      </w:r>
    </w:p>
    <w:p w14:paraId="5A2E7EF6" w14:textId="6E0B53AA"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RBI/2023-24/61</w:t>
      </w:r>
      <w:r w:rsidRPr="00456535">
        <w:rPr>
          <w:rFonts w:ascii="Arial" w:eastAsia="Times New Roman" w:hAnsi="Arial" w:cs="Arial"/>
          <w:color w:val="000000"/>
          <w:kern w:val="0"/>
          <w:sz w:val="20"/>
          <w:szCs w:val="20"/>
          <w:lang w:eastAsia="en-IN"/>
          <w14:ligatures w14:val="none"/>
        </w:rPr>
        <w:br/>
        <w:t>FIDD.CO.MSME.BC.No.10/06.02.031/2023-24</w:t>
      </w:r>
    </w:p>
    <w:p w14:paraId="44C99123"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September 13, 2023</w:t>
      </w:r>
    </w:p>
    <w:p w14:paraId="03D1C987"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The Chairman/ Managing Director/Chief Executive Officer</w:t>
      </w:r>
      <w:r w:rsidRPr="00456535">
        <w:rPr>
          <w:rFonts w:ascii="Arial" w:eastAsia="Times New Roman" w:hAnsi="Arial" w:cs="Arial"/>
          <w:color w:val="000000"/>
          <w:kern w:val="0"/>
          <w:sz w:val="20"/>
          <w:szCs w:val="20"/>
          <w:lang w:eastAsia="en-IN"/>
          <w14:ligatures w14:val="none"/>
        </w:rPr>
        <w:br/>
        <w:t>All Scheduled Commercial Banks</w:t>
      </w:r>
      <w:r w:rsidRPr="00456535">
        <w:rPr>
          <w:rFonts w:ascii="Arial" w:eastAsia="Times New Roman" w:hAnsi="Arial" w:cs="Arial"/>
          <w:color w:val="000000"/>
          <w:kern w:val="0"/>
          <w:sz w:val="20"/>
          <w:szCs w:val="20"/>
          <w:lang w:eastAsia="en-IN"/>
          <w14:ligatures w14:val="none"/>
        </w:rPr>
        <w:br/>
        <w:t>(including Small Finance Banks and Regional Rural Banks, excluding Payments Banks)</w:t>
      </w:r>
      <w:r w:rsidRPr="00456535">
        <w:rPr>
          <w:rFonts w:ascii="Arial" w:eastAsia="Times New Roman" w:hAnsi="Arial" w:cs="Arial"/>
          <w:color w:val="000000"/>
          <w:kern w:val="0"/>
          <w:sz w:val="20"/>
          <w:szCs w:val="20"/>
          <w:lang w:eastAsia="en-IN"/>
          <w14:ligatures w14:val="none"/>
        </w:rPr>
        <w:br/>
        <w:t>All Primary (Urban) Co-operative Banks/State Co-operative Banks</w:t>
      </w:r>
      <w:r w:rsidRPr="00456535">
        <w:rPr>
          <w:rFonts w:ascii="Arial" w:eastAsia="Times New Roman" w:hAnsi="Arial" w:cs="Arial"/>
          <w:color w:val="000000"/>
          <w:kern w:val="0"/>
          <w:sz w:val="20"/>
          <w:szCs w:val="20"/>
          <w:lang w:eastAsia="en-IN"/>
          <w14:ligatures w14:val="none"/>
        </w:rPr>
        <w:br/>
        <w:t>/ District Central Co-operative Banks</w:t>
      </w:r>
      <w:r w:rsidRPr="00456535">
        <w:rPr>
          <w:rFonts w:ascii="Arial" w:eastAsia="Times New Roman" w:hAnsi="Arial" w:cs="Arial"/>
          <w:color w:val="000000"/>
          <w:kern w:val="0"/>
          <w:sz w:val="20"/>
          <w:szCs w:val="20"/>
          <w:lang w:eastAsia="en-IN"/>
          <w14:ligatures w14:val="none"/>
        </w:rPr>
        <w:br/>
        <w:t>All Non-Banking Financial Companies (excluding housing finance companies)</w:t>
      </w:r>
    </w:p>
    <w:p w14:paraId="222D0368"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Madam / Dear Sir,</w:t>
      </w:r>
    </w:p>
    <w:p w14:paraId="33E86B92" w14:textId="77777777" w:rsidR="00456535" w:rsidRPr="00456535" w:rsidRDefault="00456535" w:rsidP="00456535">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 xml:space="preserve">PM </w:t>
      </w:r>
      <w:proofErr w:type="spellStart"/>
      <w:r w:rsidRPr="00456535">
        <w:rPr>
          <w:rFonts w:ascii="Arial" w:eastAsia="Times New Roman" w:hAnsi="Arial" w:cs="Arial"/>
          <w:b/>
          <w:bCs/>
          <w:color w:val="000000"/>
          <w:kern w:val="0"/>
          <w:sz w:val="20"/>
          <w:szCs w:val="20"/>
          <w:lang w:eastAsia="en-IN"/>
          <w14:ligatures w14:val="none"/>
        </w:rPr>
        <w:t>Vishwakarma</w:t>
      </w:r>
      <w:proofErr w:type="spellEnd"/>
      <w:r w:rsidRPr="00456535">
        <w:rPr>
          <w:rFonts w:ascii="Arial" w:eastAsia="Times New Roman" w:hAnsi="Arial" w:cs="Arial"/>
          <w:b/>
          <w:bCs/>
          <w:color w:val="000000"/>
          <w:kern w:val="0"/>
          <w:sz w:val="20"/>
          <w:szCs w:val="20"/>
          <w:lang w:eastAsia="en-IN"/>
          <w14:ligatures w14:val="none"/>
        </w:rPr>
        <w:t xml:space="preserve"> Scheme</w:t>
      </w:r>
    </w:p>
    <w:p w14:paraId="7673A21E"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 xml:space="preserve">Government of India (GoI) has introduced the ‘PM </w:t>
      </w:r>
      <w:proofErr w:type="spellStart"/>
      <w:r w:rsidRPr="00456535">
        <w:rPr>
          <w:rFonts w:ascii="Arial" w:eastAsia="Times New Roman" w:hAnsi="Arial" w:cs="Arial"/>
          <w:color w:val="000000"/>
          <w:kern w:val="0"/>
          <w:sz w:val="20"/>
          <w:szCs w:val="20"/>
          <w:lang w:eastAsia="en-IN"/>
          <w14:ligatures w14:val="none"/>
        </w:rPr>
        <w:t>Vishwakarma</w:t>
      </w:r>
      <w:proofErr w:type="spellEnd"/>
      <w:r w:rsidRPr="00456535">
        <w:rPr>
          <w:rFonts w:ascii="Arial" w:eastAsia="Times New Roman" w:hAnsi="Arial" w:cs="Arial"/>
          <w:color w:val="000000"/>
          <w:kern w:val="0"/>
          <w:sz w:val="20"/>
          <w:szCs w:val="20"/>
          <w:lang w:eastAsia="en-IN"/>
          <w14:ligatures w14:val="none"/>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14:paraId="4D1F502F"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2. In this regard, eligible lending institutions may refer to the Scheme </w:t>
      </w:r>
      <w:hyperlink r:id="rId22" w:tgtFrame="_blank" w:history="1">
        <w:r w:rsidRPr="00456535">
          <w:rPr>
            <w:rFonts w:ascii="Arial" w:eastAsia="Times New Roman" w:hAnsi="Arial" w:cs="Arial"/>
            <w:color w:val="0000FF"/>
            <w:kern w:val="0"/>
            <w:sz w:val="20"/>
            <w:szCs w:val="20"/>
            <w:u w:val="single"/>
            <w:lang w:eastAsia="en-IN"/>
            <w14:ligatures w14:val="none"/>
          </w:rPr>
          <w:t>guidelines</w:t>
        </w:r>
      </w:hyperlink>
      <w:r w:rsidRPr="00456535">
        <w:rPr>
          <w:rFonts w:ascii="Arial" w:eastAsia="Times New Roman" w:hAnsi="Arial" w:cs="Arial"/>
          <w:color w:val="000000"/>
          <w:kern w:val="0"/>
          <w:sz w:val="20"/>
          <w:szCs w:val="20"/>
          <w:lang w:eastAsia="en-IN"/>
          <w14:ligatures w14:val="none"/>
        </w:rPr>
        <w:t> issued by the Ministry of Micro, Small and Medium Enterprises, for appropriate action.</w:t>
      </w:r>
    </w:p>
    <w:p w14:paraId="4553FB82"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Yours faithfully,</w:t>
      </w:r>
    </w:p>
    <w:p w14:paraId="41E47B4D"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w:t>
      </w:r>
      <w:proofErr w:type="spellStart"/>
      <w:r w:rsidRPr="00456535">
        <w:rPr>
          <w:rFonts w:ascii="Arial" w:eastAsia="Times New Roman" w:hAnsi="Arial" w:cs="Arial"/>
          <w:color w:val="000000"/>
          <w:kern w:val="0"/>
          <w:sz w:val="20"/>
          <w:szCs w:val="20"/>
          <w:lang w:eastAsia="en-IN"/>
          <w14:ligatures w14:val="none"/>
        </w:rPr>
        <w:t>Nisha</w:t>
      </w:r>
      <w:proofErr w:type="spellEnd"/>
      <w:r w:rsidRPr="00456535">
        <w:rPr>
          <w:rFonts w:ascii="Arial" w:eastAsia="Times New Roman" w:hAnsi="Arial" w:cs="Arial"/>
          <w:color w:val="000000"/>
          <w:kern w:val="0"/>
          <w:sz w:val="20"/>
          <w:szCs w:val="20"/>
          <w:lang w:eastAsia="en-IN"/>
          <w14:ligatures w14:val="none"/>
        </w:rPr>
        <w:t xml:space="preserve"> </w:t>
      </w:r>
      <w:proofErr w:type="spellStart"/>
      <w:r w:rsidRPr="00456535">
        <w:rPr>
          <w:rFonts w:ascii="Arial" w:eastAsia="Times New Roman" w:hAnsi="Arial" w:cs="Arial"/>
          <w:color w:val="000000"/>
          <w:kern w:val="0"/>
          <w:sz w:val="20"/>
          <w:szCs w:val="20"/>
          <w:lang w:eastAsia="en-IN"/>
          <w14:ligatures w14:val="none"/>
        </w:rPr>
        <w:t>Nambiar</w:t>
      </w:r>
      <w:proofErr w:type="spellEnd"/>
      <w:r w:rsidRPr="00456535">
        <w:rPr>
          <w:rFonts w:ascii="Arial" w:eastAsia="Times New Roman" w:hAnsi="Arial" w:cs="Arial"/>
          <w:color w:val="000000"/>
          <w:kern w:val="0"/>
          <w:sz w:val="20"/>
          <w:szCs w:val="20"/>
          <w:lang w:eastAsia="en-IN"/>
          <w14:ligatures w14:val="none"/>
        </w:rPr>
        <w:t>)</w:t>
      </w:r>
      <w:r w:rsidRPr="00456535">
        <w:rPr>
          <w:rFonts w:ascii="Arial" w:eastAsia="Times New Roman" w:hAnsi="Arial" w:cs="Arial"/>
          <w:color w:val="000000"/>
          <w:kern w:val="0"/>
          <w:sz w:val="20"/>
          <w:szCs w:val="20"/>
          <w:lang w:eastAsia="en-IN"/>
          <w14:ligatures w14:val="none"/>
        </w:rPr>
        <w:br/>
        <w:t>Chief General Manager</w:t>
      </w:r>
    </w:p>
    <w:p w14:paraId="2D7D93A3" w14:textId="3F416604" w:rsidR="00456535" w:rsidRDefault="00456535"/>
    <w:p w14:paraId="4AF37035" w14:textId="78248967" w:rsidR="00456535" w:rsidRDefault="00456535"/>
    <w:p w14:paraId="2CB820B1" w14:textId="2ECAEBE9" w:rsidR="00456535" w:rsidRDefault="00456535"/>
    <w:p w14:paraId="099DDBA9" w14:textId="77777777" w:rsidR="00057271" w:rsidRDefault="00057271">
      <w:r w:rsidRPr="00057271">
        <w:t>For more details, Kindly refer:</w:t>
      </w:r>
    </w:p>
    <w:p w14:paraId="39C919AB" w14:textId="3EA63722" w:rsidR="00456535" w:rsidRDefault="00A71B1B">
      <w:hyperlink r:id="rId23" w:history="1">
        <w:r w:rsidR="00456535" w:rsidRPr="009F155A">
          <w:rPr>
            <w:rStyle w:val="Hyperlink"/>
          </w:rPr>
          <w:t>https://rbi.org.in/Scripts/NotificationUser.aspx?Id=12536&amp;Mode=0</w:t>
        </w:r>
      </w:hyperlink>
    </w:p>
    <w:p w14:paraId="05DE5172" w14:textId="5C80F1FD" w:rsidR="00456535" w:rsidRDefault="00456535"/>
    <w:p w14:paraId="59D050AC" w14:textId="27B3C78E" w:rsidR="00456535" w:rsidRDefault="00456535"/>
    <w:p w14:paraId="36FB49BC" w14:textId="61487F25" w:rsidR="00456535" w:rsidRDefault="00456535"/>
    <w:p w14:paraId="3542A414" w14:textId="589D73D9" w:rsidR="00456535" w:rsidRDefault="00456535"/>
    <w:p w14:paraId="2B722AD8" w14:textId="55E2603B" w:rsidR="00456535" w:rsidRDefault="00456535"/>
    <w:p w14:paraId="6892A760" w14:textId="5D2BF5F3" w:rsidR="00456535" w:rsidRDefault="00456535"/>
    <w:p w14:paraId="7A875094" w14:textId="342B2DC9" w:rsidR="00456535" w:rsidRDefault="00456535"/>
    <w:p w14:paraId="604D59C1" w14:textId="77777777" w:rsidR="00272E7F" w:rsidRDefault="00272E7F"/>
    <w:p w14:paraId="7CB9EFAF" w14:textId="0B914D40" w:rsidR="00456535" w:rsidRPr="00272E7F" w:rsidRDefault="00272E7F" w:rsidP="00272E7F">
      <w:pPr>
        <w:jc w:val="both"/>
        <w:rPr>
          <w:b/>
          <w:sz w:val="24"/>
          <w:szCs w:val="24"/>
        </w:rPr>
      </w:pPr>
      <w:r w:rsidRPr="00272E7F">
        <w:rPr>
          <w:b/>
          <w:sz w:val="24"/>
          <w:szCs w:val="24"/>
        </w:rPr>
        <w:lastRenderedPageBreak/>
        <w:t>Data Quality Index for Commercial and Microfinance Segments by Credit Information Companies</w:t>
      </w:r>
    </w:p>
    <w:p w14:paraId="0A0264EE" w14:textId="1A9DC29C" w:rsidR="00456535" w:rsidRDefault="00456535"/>
    <w:p w14:paraId="3A381699"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RBI/2023-24/62</w:t>
      </w:r>
      <w:r w:rsidRPr="00456535">
        <w:rPr>
          <w:rFonts w:ascii="Arial" w:eastAsia="Times New Roman" w:hAnsi="Arial" w:cs="Arial"/>
          <w:color w:val="000000"/>
          <w:kern w:val="0"/>
          <w:sz w:val="20"/>
          <w:szCs w:val="20"/>
          <w:lang w:eastAsia="en-IN"/>
          <w14:ligatures w14:val="none"/>
        </w:rPr>
        <w:br/>
        <w:t>DoR.FIN.REC.39/20.16.056/2023-24</w:t>
      </w:r>
    </w:p>
    <w:p w14:paraId="14C7B28B"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September 20, 2023</w:t>
      </w:r>
    </w:p>
    <w:p w14:paraId="4C19327F" w14:textId="77777777" w:rsidR="00456535" w:rsidRPr="00456535" w:rsidRDefault="00456535" w:rsidP="0045653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All Commercial Banks (including Small Finance Banks, Local Area Banks and Regional Rural Banks)</w:t>
      </w:r>
      <w:r w:rsidRPr="00456535">
        <w:rPr>
          <w:rFonts w:ascii="Arial" w:eastAsia="Times New Roman" w:hAnsi="Arial" w:cs="Arial"/>
          <w:color w:val="000000"/>
          <w:kern w:val="0"/>
          <w:sz w:val="20"/>
          <w:szCs w:val="20"/>
          <w:lang w:eastAsia="en-IN"/>
          <w14:ligatures w14:val="none"/>
        </w:rPr>
        <w:br/>
        <w:t>All Primary (Urban) Co-operative Banks/State Co-operative Banks/ Central Co-operative Banks</w:t>
      </w:r>
      <w:r w:rsidRPr="00456535">
        <w:rPr>
          <w:rFonts w:ascii="Arial" w:eastAsia="Times New Roman" w:hAnsi="Arial" w:cs="Arial"/>
          <w:color w:val="000000"/>
          <w:kern w:val="0"/>
          <w:sz w:val="20"/>
          <w:szCs w:val="20"/>
          <w:lang w:eastAsia="en-IN"/>
          <w14:ligatures w14:val="none"/>
        </w:rPr>
        <w:br/>
        <w:t xml:space="preserve">All-India Financial Institutions (Exim Bank, NABARD, NHB, SIDBI and </w:t>
      </w:r>
      <w:proofErr w:type="spellStart"/>
      <w:r w:rsidRPr="00456535">
        <w:rPr>
          <w:rFonts w:ascii="Arial" w:eastAsia="Times New Roman" w:hAnsi="Arial" w:cs="Arial"/>
          <w:color w:val="000000"/>
          <w:kern w:val="0"/>
          <w:sz w:val="20"/>
          <w:szCs w:val="20"/>
          <w:lang w:eastAsia="en-IN"/>
          <w14:ligatures w14:val="none"/>
        </w:rPr>
        <w:t>NaBFID</w:t>
      </w:r>
      <w:proofErr w:type="spellEnd"/>
      <w:r w:rsidRPr="00456535">
        <w:rPr>
          <w:rFonts w:ascii="Arial" w:eastAsia="Times New Roman" w:hAnsi="Arial" w:cs="Arial"/>
          <w:color w:val="000000"/>
          <w:kern w:val="0"/>
          <w:sz w:val="20"/>
          <w:szCs w:val="20"/>
          <w:lang w:eastAsia="en-IN"/>
          <w14:ligatures w14:val="none"/>
        </w:rPr>
        <w:t>)</w:t>
      </w:r>
      <w:r w:rsidRPr="00456535">
        <w:rPr>
          <w:rFonts w:ascii="Arial" w:eastAsia="Times New Roman" w:hAnsi="Arial" w:cs="Arial"/>
          <w:color w:val="000000"/>
          <w:kern w:val="0"/>
          <w:sz w:val="20"/>
          <w:szCs w:val="20"/>
          <w:lang w:eastAsia="en-IN"/>
          <w14:ligatures w14:val="none"/>
        </w:rPr>
        <w:br/>
        <w:t>All Non-Banking Financial Companies (including Housing Finance Companies)</w:t>
      </w:r>
      <w:r w:rsidRPr="00456535">
        <w:rPr>
          <w:rFonts w:ascii="Arial" w:eastAsia="Times New Roman" w:hAnsi="Arial" w:cs="Arial"/>
          <w:color w:val="000000"/>
          <w:kern w:val="0"/>
          <w:sz w:val="20"/>
          <w:szCs w:val="20"/>
          <w:lang w:eastAsia="en-IN"/>
          <w14:ligatures w14:val="none"/>
        </w:rPr>
        <w:br/>
        <w:t>All Asset Reconstruction Companies</w:t>
      </w:r>
      <w:r w:rsidRPr="00456535">
        <w:rPr>
          <w:rFonts w:ascii="Arial" w:eastAsia="Times New Roman" w:hAnsi="Arial" w:cs="Arial"/>
          <w:color w:val="000000"/>
          <w:kern w:val="0"/>
          <w:sz w:val="20"/>
          <w:szCs w:val="20"/>
          <w:lang w:eastAsia="en-IN"/>
          <w14:ligatures w14:val="none"/>
        </w:rPr>
        <w:br/>
        <w:t>All Credit Information Companies</w:t>
      </w:r>
    </w:p>
    <w:p w14:paraId="7DB30E38"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Dear Sir/ Madam,</w:t>
      </w:r>
    </w:p>
    <w:p w14:paraId="5935839C" w14:textId="77777777" w:rsidR="00456535" w:rsidRPr="00456535" w:rsidRDefault="00456535" w:rsidP="0045653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456535">
        <w:rPr>
          <w:rFonts w:ascii="Arial" w:eastAsia="Times New Roman" w:hAnsi="Arial" w:cs="Arial"/>
          <w:b/>
          <w:bCs/>
          <w:color w:val="000000"/>
          <w:kern w:val="0"/>
          <w:sz w:val="20"/>
          <w:szCs w:val="20"/>
          <w:lang w:eastAsia="en-IN"/>
          <w14:ligatures w14:val="none"/>
        </w:rPr>
        <w:t>Data Quality Index for Commercial and Microfinance Segments by Credit Information Companies</w:t>
      </w:r>
    </w:p>
    <w:p w14:paraId="7506EEE1"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Please refer to our </w:t>
      </w:r>
      <w:hyperlink r:id="rId24" w:tgtFrame="_blank" w:history="1">
        <w:r w:rsidRPr="00456535">
          <w:rPr>
            <w:rFonts w:ascii="Arial" w:eastAsia="Times New Roman" w:hAnsi="Arial" w:cs="Arial"/>
            <w:color w:val="0000FF"/>
            <w:kern w:val="0"/>
            <w:sz w:val="20"/>
            <w:szCs w:val="20"/>
            <w:u w:val="single"/>
            <w:lang w:eastAsia="en-IN"/>
            <w14:ligatures w14:val="none"/>
          </w:rPr>
          <w:t>circular DBOD.No.CID.BC.127/20.16.056/2013-14 dated June 27, 2014</w:t>
        </w:r>
      </w:hyperlink>
      <w:r w:rsidRPr="00456535">
        <w:rPr>
          <w:rFonts w:ascii="Arial" w:eastAsia="Times New Roman" w:hAnsi="Arial" w:cs="Arial"/>
          <w:color w:val="000000"/>
          <w:kern w:val="0"/>
          <w:sz w:val="20"/>
          <w:szCs w:val="20"/>
          <w:lang w:eastAsia="en-IN"/>
          <w14:ligatures w14:val="none"/>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14:paraId="26072D91"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2. With a view to enable further implementation of DQI, it has been decided that CICs shall prepare DQIs for Commercial and Microfinance segments also as per </w:t>
      </w:r>
      <w:hyperlink r:id="rId25" w:tgtFrame="_blank" w:history="1">
        <w:r w:rsidRPr="00456535">
          <w:rPr>
            <w:rFonts w:ascii="Arial" w:eastAsia="Times New Roman" w:hAnsi="Arial" w:cs="Arial"/>
            <w:color w:val="0000FF"/>
            <w:kern w:val="0"/>
            <w:sz w:val="20"/>
            <w:szCs w:val="20"/>
            <w:u w:val="single"/>
            <w:lang w:eastAsia="en-IN"/>
            <w14:ligatures w14:val="none"/>
          </w:rPr>
          <w:t>Annex I</w:t>
        </w:r>
      </w:hyperlink>
      <w:r w:rsidRPr="00456535">
        <w:rPr>
          <w:rFonts w:ascii="Arial" w:eastAsia="Times New Roman" w:hAnsi="Arial" w:cs="Arial"/>
          <w:color w:val="000000"/>
          <w:kern w:val="0"/>
          <w:sz w:val="20"/>
          <w:szCs w:val="20"/>
          <w:lang w:eastAsia="en-IN"/>
          <w14:ligatures w14:val="none"/>
        </w:rPr>
        <w:t> and </w:t>
      </w:r>
      <w:hyperlink r:id="rId26" w:tgtFrame="_blank" w:history="1">
        <w:r w:rsidRPr="00456535">
          <w:rPr>
            <w:rFonts w:ascii="Arial" w:eastAsia="Times New Roman" w:hAnsi="Arial" w:cs="Arial"/>
            <w:color w:val="0000FF"/>
            <w:kern w:val="0"/>
            <w:sz w:val="20"/>
            <w:szCs w:val="20"/>
            <w:u w:val="single"/>
            <w:lang w:eastAsia="en-IN"/>
            <w14:ligatures w14:val="none"/>
          </w:rPr>
          <w:t>II</w:t>
        </w:r>
      </w:hyperlink>
      <w:r w:rsidRPr="00456535">
        <w:rPr>
          <w:rFonts w:ascii="Arial" w:eastAsia="Times New Roman" w:hAnsi="Arial" w:cs="Arial"/>
          <w:color w:val="000000"/>
          <w:kern w:val="0"/>
          <w:sz w:val="20"/>
          <w:szCs w:val="20"/>
          <w:lang w:eastAsia="en-IN"/>
          <w14:ligatures w14:val="none"/>
        </w:rPr>
        <w:t>, respectively. CICs shall provide the DQIs for Commercial and Microfinance segments to all CIs latest by March 31, 2024.</w:t>
      </w:r>
    </w:p>
    <w:p w14:paraId="7C6BE904"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3. Further, CICs are advised as under:</w:t>
      </w:r>
    </w:p>
    <w:p w14:paraId="52D73A62" w14:textId="77777777" w:rsidR="00456535" w:rsidRPr="00456535" w:rsidRDefault="00456535" w:rsidP="00456535">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CICs shall provide DQIs for Commercial and Microfinance segments in the form of numeric scores on a monthly basis to all member credit institutions.</w:t>
      </w:r>
    </w:p>
    <w:p w14:paraId="25E7AC3A" w14:textId="77777777" w:rsidR="00456535" w:rsidRPr="00456535" w:rsidRDefault="00456535" w:rsidP="00456535">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14:paraId="43C6F2C1" w14:textId="77777777" w:rsidR="00456535" w:rsidRPr="00456535" w:rsidRDefault="00456535" w:rsidP="00456535">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CICs shall compute industry level DQIs for each of the three reporting segments</w:t>
      </w:r>
      <w:hyperlink r:id="rId27" w:anchor="FT1" w:history="1">
        <w:r w:rsidRPr="00456535">
          <w:rPr>
            <w:rFonts w:ascii="Arial" w:eastAsia="Times New Roman" w:hAnsi="Arial" w:cs="Arial"/>
            <w:color w:val="0000FF"/>
            <w:kern w:val="0"/>
            <w:sz w:val="15"/>
            <w:szCs w:val="15"/>
            <w:u w:val="single"/>
            <w:vertAlign w:val="superscript"/>
            <w:lang w:eastAsia="en-IN"/>
            <w14:ligatures w14:val="none"/>
          </w:rPr>
          <w:t>1</w:t>
        </w:r>
      </w:hyperlink>
      <w:r w:rsidRPr="00456535">
        <w:rPr>
          <w:rFonts w:ascii="Arial" w:eastAsia="Times New Roman" w:hAnsi="Arial" w:cs="Arial"/>
          <w:color w:val="000000"/>
          <w:kern w:val="0"/>
          <w:sz w:val="20"/>
          <w:szCs w:val="20"/>
          <w:lang w:eastAsia="en-IN"/>
          <w14:ligatures w14:val="none"/>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14:paraId="425BAD1B" w14:textId="77777777" w:rsidR="00456535" w:rsidRPr="00456535" w:rsidRDefault="00456535" w:rsidP="00456535">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CICs shall provide reasons for decline in score to each CI, if its (a) CI level score has declined over the previous month or (b) CI level score is lower than the half yearly industry benchmark.</w:t>
      </w:r>
    </w:p>
    <w:p w14:paraId="520CBA3A" w14:textId="77777777" w:rsidR="00456535" w:rsidRPr="00456535" w:rsidRDefault="00456535" w:rsidP="00456535">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14:paraId="4D511F9B"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14:paraId="3C3663A9" w14:textId="77777777"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t>Yours faithfully</w:t>
      </w:r>
    </w:p>
    <w:p w14:paraId="3E2FF895" w14:textId="77777777" w:rsidR="000E190F" w:rsidRDefault="00456535"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456535">
        <w:rPr>
          <w:rFonts w:ascii="Arial" w:eastAsia="Times New Roman" w:hAnsi="Arial" w:cs="Arial"/>
          <w:color w:val="000000"/>
          <w:kern w:val="0"/>
          <w:sz w:val="20"/>
          <w:szCs w:val="20"/>
          <w:lang w:eastAsia="en-IN"/>
          <w14:ligatures w14:val="none"/>
        </w:rPr>
        <w:lastRenderedPageBreak/>
        <w:t>(J. P. Sharma)</w:t>
      </w:r>
      <w:r w:rsidRPr="00456535">
        <w:rPr>
          <w:rFonts w:ascii="Arial" w:eastAsia="Times New Roman" w:hAnsi="Arial" w:cs="Arial"/>
          <w:color w:val="000000"/>
          <w:kern w:val="0"/>
          <w:sz w:val="20"/>
          <w:szCs w:val="20"/>
          <w:lang w:eastAsia="en-IN"/>
          <w14:ligatures w14:val="none"/>
        </w:rPr>
        <w:br/>
        <w:t>Chief General Manager</w:t>
      </w:r>
    </w:p>
    <w:p w14:paraId="482CCEEB" w14:textId="77777777" w:rsidR="000E190F" w:rsidRDefault="00456535" w:rsidP="000E190F">
      <w:pPr>
        <w:pStyle w:val="NoSpacing"/>
        <w:rPr>
          <w:lang w:eastAsia="en-IN"/>
        </w:rPr>
      </w:pPr>
      <w:proofErr w:type="spellStart"/>
      <w:r w:rsidRPr="00456535">
        <w:rPr>
          <w:lang w:eastAsia="en-IN"/>
        </w:rPr>
        <w:t>Encl</w:t>
      </w:r>
      <w:proofErr w:type="spellEnd"/>
      <w:r w:rsidRPr="00456535">
        <w:rPr>
          <w:lang w:eastAsia="en-IN"/>
        </w:rPr>
        <w:t>: Annex I and II</w:t>
      </w:r>
    </w:p>
    <w:p w14:paraId="2AA30787" w14:textId="77777777" w:rsidR="00A71B1B" w:rsidRDefault="00A71B1B" w:rsidP="000E190F">
      <w:pPr>
        <w:pStyle w:val="NoSpacing"/>
      </w:pPr>
    </w:p>
    <w:p w14:paraId="6BD28FBD" w14:textId="77777777" w:rsidR="00A71B1B" w:rsidRDefault="00A71B1B" w:rsidP="000E190F">
      <w:pPr>
        <w:pStyle w:val="NoSpacing"/>
      </w:pPr>
    </w:p>
    <w:p w14:paraId="3DB7BB7F" w14:textId="4B648F19" w:rsidR="00057271" w:rsidRDefault="00057271" w:rsidP="000E190F">
      <w:pPr>
        <w:pStyle w:val="NoSpacing"/>
      </w:pPr>
      <w:r w:rsidRPr="00057271">
        <w:t>For more details, Kindly refer:</w:t>
      </w:r>
    </w:p>
    <w:p w14:paraId="5E8132EB" w14:textId="5D02565B" w:rsidR="000E190F" w:rsidRDefault="00A71B1B" w:rsidP="000E190F">
      <w:pPr>
        <w:pStyle w:val="NoSpacing"/>
        <w:rPr>
          <w:lang w:eastAsia="en-IN"/>
        </w:rPr>
      </w:pPr>
      <w:hyperlink r:id="rId28" w:history="1">
        <w:r w:rsidR="000E190F" w:rsidRPr="009F155A">
          <w:rPr>
            <w:rStyle w:val="Hyperlink"/>
            <w:lang w:eastAsia="en-IN"/>
          </w:rPr>
          <w:t>https://rbi.org.in/Scripts/NotificationUser.aspx?Id=12537&amp;Mode=0</w:t>
        </w:r>
      </w:hyperlink>
    </w:p>
    <w:p w14:paraId="3C2134F7"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508B7CD"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F34F498"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6225C2D"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72DB639"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7A2AD54"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6A72B81"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6A938AF"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3A971F5"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235946B"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BD0CA25"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347081B"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D50525A"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5F51449"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3255A04"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21FC567"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724C7C8"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1AAF70A"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25B8989"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B895011"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58441D3"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ED3D319"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DECEF4E"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407EDC7" w14:textId="07E147D0" w:rsidR="007C1BDC" w:rsidRPr="007C1BDC" w:rsidRDefault="007C1BDC" w:rsidP="000E190F">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7C1BDC">
        <w:rPr>
          <w:rFonts w:eastAsia="Times New Roman" w:cstheme="minorHAnsi"/>
          <w:b/>
          <w:color w:val="000000"/>
          <w:kern w:val="0"/>
          <w:sz w:val="24"/>
          <w:szCs w:val="24"/>
          <w:lang w:eastAsia="en-IN"/>
          <w14:ligatures w14:val="none"/>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14:paraId="6E49B0A9" w14:textId="77777777" w:rsidR="007C1BDC" w:rsidRDefault="007C1BDC"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C9AA6C1" w14:textId="7DBA472E"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RBI/</w:t>
      </w:r>
      <w:proofErr w:type="spellStart"/>
      <w:r w:rsidRPr="000E190F">
        <w:rPr>
          <w:rFonts w:ascii="Arial" w:eastAsia="Times New Roman" w:hAnsi="Arial" w:cs="Arial"/>
          <w:color w:val="000000"/>
          <w:kern w:val="0"/>
          <w:sz w:val="20"/>
          <w:szCs w:val="20"/>
          <w:lang w:eastAsia="en-IN"/>
          <w14:ligatures w14:val="none"/>
        </w:rPr>
        <w:t>DoR</w:t>
      </w:r>
      <w:proofErr w:type="spellEnd"/>
      <w:r w:rsidRPr="000E190F">
        <w:rPr>
          <w:rFonts w:ascii="Arial" w:eastAsia="Times New Roman" w:hAnsi="Arial" w:cs="Arial"/>
          <w:color w:val="000000"/>
          <w:kern w:val="0"/>
          <w:sz w:val="20"/>
          <w:szCs w:val="20"/>
          <w:lang w:eastAsia="en-IN"/>
          <w14:ligatures w14:val="none"/>
        </w:rPr>
        <w:t>/2023-24/105</w:t>
      </w:r>
      <w:r w:rsidRPr="000E190F">
        <w:rPr>
          <w:rFonts w:ascii="Arial" w:eastAsia="Times New Roman" w:hAnsi="Arial" w:cs="Arial"/>
          <w:color w:val="000000"/>
          <w:kern w:val="0"/>
          <w:sz w:val="20"/>
          <w:szCs w:val="20"/>
          <w:lang w:eastAsia="en-IN"/>
          <w14:ligatures w14:val="none"/>
        </w:rPr>
        <w:br/>
        <w:t>DoR.FIN.REC.40/01.02.000/2023-24</w:t>
      </w:r>
    </w:p>
    <w:p w14:paraId="03FC2172" w14:textId="77777777" w:rsidR="000E190F" w:rsidRPr="000E190F" w:rsidRDefault="000E190F" w:rsidP="000E190F">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September 21, 2023</w:t>
      </w:r>
    </w:p>
    <w:p w14:paraId="7A9BB21B" w14:textId="77777777" w:rsidR="000E190F" w:rsidRPr="000E190F" w:rsidRDefault="000E190F" w:rsidP="000E190F">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E190F">
        <w:rPr>
          <w:rFonts w:ascii="Arial" w:eastAsia="Times New Roman" w:hAnsi="Arial" w:cs="Arial"/>
          <w:b/>
          <w:bCs/>
          <w:color w:val="000000"/>
          <w:kern w:val="0"/>
          <w:sz w:val="20"/>
          <w:szCs w:val="20"/>
          <w:lang w:eastAsia="en-IN"/>
          <w14:ligatures w14:val="none"/>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14:paraId="420CAFA4"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29" w:tgtFrame="_blank" w:history="1">
        <w:r w:rsidRPr="000E190F">
          <w:rPr>
            <w:rFonts w:ascii="Arial" w:eastAsia="Times New Roman" w:hAnsi="Arial" w:cs="Arial"/>
            <w:color w:val="0000FF"/>
            <w:kern w:val="0"/>
            <w:sz w:val="20"/>
            <w:szCs w:val="20"/>
            <w:u w:val="single"/>
            <w:lang w:eastAsia="en-IN"/>
            <w14:ligatures w14:val="none"/>
          </w:rPr>
          <w:t>Directions</w:t>
        </w:r>
      </w:hyperlink>
      <w:r w:rsidRPr="000E190F">
        <w:rPr>
          <w:rFonts w:ascii="Arial" w:eastAsia="Times New Roman" w:hAnsi="Arial" w:cs="Arial"/>
          <w:color w:val="000000"/>
          <w:kern w:val="0"/>
          <w:sz w:val="20"/>
          <w:szCs w:val="20"/>
          <w:lang w:eastAsia="en-IN"/>
          <w14:ligatures w14:val="none"/>
        </w:rPr>
        <w:t> hereinafter specified.</w:t>
      </w:r>
    </w:p>
    <w:p w14:paraId="6B104EDA" w14:textId="77777777" w:rsidR="000E190F" w:rsidRPr="000E190F" w:rsidRDefault="000E190F" w:rsidP="000E190F">
      <w:pPr>
        <w:pStyle w:val="NoSpacing"/>
        <w:rPr>
          <w:lang w:eastAsia="en-IN"/>
        </w:rPr>
      </w:pPr>
    </w:p>
    <w:p w14:paraId="7B7E2EA4" w14:textId="32D03763" w:rsidR="00456535" w:rsidRPr="00456535" w:rsidRDefault="00456535" w:rsidP="0045653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13FA108" w14:textId="52114343" w:rsidR="00456535" w:rsidRDefault="00456535"/>
    <w:p w14:paraId="3B7A6B5B" w14:textId="77777777" w:rsidR="00057271" w:rsidRDefault="00057271">
      <w:r w:rsidRPr="00057271">
        <w:t>For more details, Kindly refer:</w:t>
      </w:r>
    </w:p>
    <w:p w14:paraId="7B4E545A" w14:textId="0490A0EE" w:rsidR="000E190F" w:rsidRDefault="00A71B1B">
      <w:hyperlink r:id="rId30" w:history="1">
        <w:r w:rsidR="000E190F" w:rsidRPr="009F155A">
          <w:rPr>
            <w:rStyle w:val="Hyperlink"/>
          </w:rPr>
          <w:t>https://rbi.org.in/Scripts/NotificationUser.aspx?Id=12538&amp;Mode=0</w:t>
        </w:r>
      </w:hyperlink>
    </w:p>
    <w:p w14:paraId="51A99ADE" w14:textId="0CDB1B5A" w:rsidR="000E190F" w:rsidRDefault="000E190F"/>
    <w:p w14:paraId="4CB50B02" w14:textId="58743839" w:rsidR="000E190F" w:rsidRDefault="000E190F"/>
    <w:p w14:paraId="7D9DBD24" w14:textId="276E1780" w:rsidR="000E190F" w:rsidRDefault="000E190F"/>
    <w:p w14:paraId="45884212" w14:textId="175B8BB3" w:rsidR="000E190F" w:rsidRDefault="000E190F"/>
    <w:p w14:paraId="2E0B1FBB" w14:textId="7BCD0A45" w:rsidR="000E190F" w:rsidRDefault="000E190F"/>
    <w:p w14:paraId="040FE1E5" w14:textId="7059C629" w:rsidR="000E190F" w:rsidRDefault="000E190F"/>
    <w:p w14:paraId="3F140709" w14:textId="7E5EACB9" w:rsidR="000E190F" w:rsidRDefault="000E190F"/>
    <w:p w14:paraId="111527DA" w14:textId="73A6865F" w:rsidR="000E190F" w:rsidRDefault="000E190F"/>
    <w:p w14:paraId="567DE2D8" w14:textId="36746DE2" w:rsidR="000E190F" w:rsidRDefault="000E190F"/>
    <w:p w14:paraId="2BA842C8" w14:textId="7116B7AA" w:rsidR="000E190F" w:rsidRDefault="000E190F"/>
    <w:p w14:paraId="0F90D9C4" w14:textId="42FEE1FC" w:rsidR="000E190F" w:rsidRDefault="000E190F"/>
    <w:p w14:paraId="473059B6" w14:textId="24EE7ACD" w:rsidR="000E190F" w:rsidRDefault="000E190F"/>
    <w:p w14:paraId="6BE9E296" w14:textId="06A685B6" w:rsidR="000E190F" w:rsidRDefault="000E190F"/>
    <w:p w14:paraId="7F52F58A" w14:textId="031A9D70" w:rsidR="000E190F" w:rsidRPr="00200153" w:rsidRDefault="007C1BDC" w:rsidP="007C1BDC">
      <w:pPr>
        <w:jc w:val="both"/>
        <w:rPr>
          <w:b/>
          <w:sz w:val="24"/>
          <w:szCs w:val="24"/>
        </w:rPr>
      </w:pPr>
      <w:r w:rsidRPr="00200153">
        <w:rPr>
          <w:b/>
          <w:sz w:val="24"/>
          <w:szCs w:val="24"/>
        </w:rPr>
        <w:lastRenderedPageBreak/>
        <w:t>Strengthening of customer service rendered by Credit Information Companies and Credit Institutions</w:t>
      </w:r>
    </w:p>
    <w:p w14:paraId="4E420B45" w14:textId="7A2D92D1" w:rsidR="000E190F" w:rsidRDefault="000E190F"/>
    <w:p w14:paraId="397F64AF"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RBI/2023-24/73</w:t>
      </w:r>
      <w:r w:rsidRPr="000E190F">
        <w:rPr>
          <w:rFonts w:ascii="Arial" w:eastAsia="Times New Roman" w:hAnsi="Arial" w:cs="Arial"/>
          <w:color w:val="000000"/>
          <w:kern w:val="0"/>
          <w:sz w:val="20"/>
          <w:szCs w:val="20"/>
          <w:lang w:eastAsia="en-IN"/>
          <w14:ligatures w14:val="none"/>
        </w:rPr>
        <w:br/>
        <w:t>DoR.FIN.REC.49/20.16.003/2023-24</w:t>
      </w:r>
    </w:p>
    <w:p w14:paraId="674667F0" w14:textId="77777777" w:rsidR="000E190F" w:rsidRPr="000E190F" w:rsidRDefault="000E190F" w:rsidP="000E190F">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October 26, 2023</w:t>
      </w:r>
    </w:p>
    <w:p w14:paraId="130E3E47" w14:textId="77777777" w:rsidR="000E190F" w:rsidRPr="000E190F" w:rsidRDefault="000E190F"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0E190F">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0E190F">
        <w:rPr>
          <w:rFonts w:ascii="Arial" w:eastAsia="Times New Roman" w:hAnsi="Arial" w:cs="Arial"/>
          <w:color w:val="000000"/>
          <w:kern w:val="0"/>
          <w:sz w:val="20"/>
          <w:szCs w:val="20"/>
          <w:lang w:eastAsia="en-IN"/>
          <w14:ligatures w14:val="none"/>
        </w:rPr>
        <w:br/>
        <w:t>All Non-Banking Financial Companies (including Housing Finance Companies)</w:t>
      </w:r>
      <w:r w:rsidRPr="000E190F">
        <w:rPr>
          <w:rFonts w:ascii="Arial" w:eastAsia="Times New Roman" w:hAnsi="Arial" w:cs="Arial"/>
          <w:color w:val="000000"/>
          <w:kern w:val="0"/>
          <w:sz w:val="20"/>
          <w:szCs w:val="20"/>
          <w:lang w:eastAsia="en-IN"/>
          <w14:ligatures w14:val="none"/>
        </w:rPr>
        <w:br/>
        <w:t xml:space="preserve">All-India Financial Institutions (Exim Bank, NABARD, NHB, SIDBI and </w:t>
      </w:r>
      <w:proofErr w:type="spellStart"/>
      <w:r w:rsidRPr="000E190F">
        <w:rPr>
          <w:rFonts w:ascii="Arial" w:eastAsia="Times New Roman" w:hAnsi="Arial" w:cs="Arial"/>
          <w:color w:val="000000"/>
          <w:kern w:val="0"/>
          <w:sz w:val="20"/>
          <w:szCs w:val="20"/>
          <w:lang w:eastAsia="en-IN"/>
          <w14:ligatures w14:val="none"/>
        </w:rPr>
        <w:t>NaBFID</w:t>
      </w:r>
      <w:proofErr w:type="spellEnd"/>
      <w:r w:rsidRPr="000E190F">
        <w:rPr>
          <w:rFonts w:ascii="Arial" w:eastAsia="Times New Roman" w:hAnsi="Arial" w:cs="Arial"/>
          <w:color w:val="000000"/>
          <w:kern w:val="0"/>
          <w:sz w:val="20"/>
          <w:szCs w:val="20"/>
          <w:lang w:eastAsia="en-IN"/>
          <w14:ligatures w14:val="none"/>
        </w:rPr>
        <w:t>)</w:t>
      </w:r>
      <w:r w:rsidRPr="000E190F">
        <w:rPr>
          <w:rFonts w:ascii="Arial" w:eastAsia="Times New Roman" w:hAnsi="Arial" w:cs="Arial"/>
          <w:color w:val="000000"/>
          <w:kern w:val="0"/>
          <w:sz w:val="20"/>
          <w:szCs w:val="20"/>
          <w:lang w:eastAsia="en-IN"/>
          <w14:ligatures w14:val="none"/>
        </w:rPr>
        <w:br/>
        <w:t>All Asset Reconstructions Companies</w:t>
      </w:r>
      <w:r w:rsidRPr="000E190F">
        <w:rPr>
          <w:rFonts w:ascii="Arial" w:eastAsia="Times New Roman" w:hAnsi="Arial" w:cs="Arial"/>
          <w:color w:val="000000"/>
          <w:kern w:val="0"/>
          <w:sz w:val="20"/>
          <w:szCs w:val="20"/>
          <w:lang w:eastAsia="en-IN"/>
          <w14:ligatures w14:val="none"/>
        </w:rPr>
        <w:br/>
        <w:t>All Credit Information Companies</w:t>
      </w:r>
    </w:p>
    <w:p w14:paraId="2477E656"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Dear Sir/ Madam</w:t>
      </w:r>
    </w:p>
    <w:p w14:paraId="26CC4217" w14:textId="77777777" w:rsidR="000E190F" w:rsidRPr="000E190F" w:rsidRDefault="000E190F" w:rsidP="000E190F">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E190F">
        <w:rPr>
          <w:rFonts w:ascii="Arial" w:eastAsia="Times New Roman" w:hAnsi="Arial" w:cs="Arial"/>
          <w:b/>
          <w:bCs/>
          <w:color w:val="000000"/>
          <w:kern w:val="0"/>
          <w:sz w:val="20"/>
          <w:szCs w:val="20"/>
          <w:lang w:eastAsia="en-IN"/>
          <w14:ligatures w14:val="none"/>
        </w:rPr>
        <w:t>Strengthening of customer service rendered by Credit Information Companies and Credit Institutions</w:t>
      </w:r>
    </w:p>
    <w:p w14:paraId="051045D3"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Please refer to para 4 of the </w:t>
      </w:r>
      <w:hyperlink r:id="rId31" w:tgtFrame="_blank" w:history="1">
        <w:r w:rsidRPr="000E190F">
          <w:rPr>
            <w:rFonts w:ascii="Arial" w:eastAsia="Times New Roman" w:hAnsi="Arial" w:cs="Arial"/>
            <w:color w:val="0000FF"/>
            <w:kern w:val="0"/>
            <w:sz w:val="20"/>
            <w:szCs w:val="20"/>
            <w:u w:val="single"/>
            <w:lang w:eastAsia="en-IN"/>
            <w14:ligatures w14:val="none"/>
          </w:rPr>
          <w:t>Statement on Developmental and Regulatory Policies</w:t>
        </w:r>
      </w:hyperlink>
      <w:r w:rsidRPr="000E190F">
        <w:rPr>
          <w:rFonts w:ascii="Arial" w:eastAsia="Times New Roman" w:hAnsi="Arial" w:cs="Arial"/>
          <w:color w:val="000000"/>
          <w:kern w:val="0"/>
          <w:sz w:val="20"/>
          <w:szCs w:val="20"/>
          <w:lang w:eastAsia="en-IN"/>
          <w14:ligatures w14:val="none"/>
        </w:rPr>
        <w:t> released with the </w:t>
      </w:r>
      <w:hyperlink r:id="rId32" w:tgtFrame="_blank" w:history="1">
        <w:r w:rsidRPr="000E190F">
          <w:rPr>
            <w:rFonts w:ascii="Arial" w:eastAsia="Times New Roman" w:hAnsi="Arial" w:cs="Arial"/>
            <w:color w:val="0000FF"/>
            <w:kern w:val="0"/>
            <w:sz w:val="20"/>
            <w:szCs w:val="20"/>
            <w:u w:val="single"/>
            <w:lang w:eastAsia="en-IN"/>
            <w14:ligatures w14:val="none"/>
          </w:rPr>
          <w:t>Bi-monthly Monetary Policy Statement 2023-24 on April 6, 2023</w:t>
        </w:r>
      </w:hyperlink>
      <w:r w:rsidRPr="000E190F">
        <w:rPr>
          <w:rFonts w:ascii="Arial" w:eastAsia="Times New Roman" w:hAnsi="Arial" w:cs="Arial"/>
          <w:color w:val="000000"/>
          <w:kern w:val="0"/>
          <w:sz w:val="20"/>
          <w:szCs w:val="20"/>
          <w:lang w:eastAsia="en-IN"/>
          <w14:ligatures w14:val="none"/>
        </w:rPr>
        <w:t>, wherein it was announced that a comprehensive framework will be put in place for strengthening and improving the efficacy of the grievance redress mechanism and customer service provided by the Credit Institutions (CIs) and Credit Information Companies (CICs).</w:t>
      </w:r>
    </w:p>
    <w:p w14:paraId="5C535E7B"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directions as detailed below:</w:t>
      </w:r>
    </w:p>
    <w:p w14:paraId="055C82AF"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2.1. </w:t>
      </w:r>
      <w:r w:rsidRPr="000E190F">
        <w:rPr>
          <w:rFonts w:ascii="Arial" w:eastAsia="Times New Roman" w:hAnsi="Arial" w:cs="Arial"/>
          <w:b/>
          <w:bCs/>
          <w:color w:val="000000"/>
          <w:kern w:val="0"/>
          <w:sz w:val="20"/>
          <w:szCs w:val="20"/>
          <w:lang w:eastAsia="en-IN"/>
          <w14:ligatures w14:val="none"/>
        </w:rPr>
        <w:t>Intimation of access to Credit Information Report and updation of credit information with Credit Information Companies</w:t>
      </w:r>
    </w:p>
    <w:p w14:paraId="490E1990" w14:textId="77777777" w:rsidR="000E190F" w:rsidRPr="000E190F" w:rsidRDefault="000E190F" w:rsidP="000E190F">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14:paraId="3CF786AC" w14:textId="77777777" w:rsidR="000E190F" w:rsidRPr="000E190F" w:rsidRDefault="000E190F" w:rsidP="000E190F">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CIs shall send alerts through SMS/ email to customers while submitting information to CICs regarding default/ Days Past Due (DPD) in existing credit facilities, wherever the mobile number/email ID details are available.</w:t>
      </w:r>
    </w:p>
    <w:p w14:paraId="7EF65AC2" w14:textId="77777777" w:rsidR="000E190F" w:rsidRPr="000E190F" w:rsidRDefault="000E190F" w:rsidP="000E190F">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To enable sending of alerts through SMS/ email, the Uniform Credit Reporting Format for reporting credit information by CIs to CICs has been modified as detailed in </w:t>
      </w:r>
      <w:hyperlink r:id="rId33" w:tgtFrame="_blank" w:history="1">
        <w:r w:rsidRPr="000E190F">
          <w:rPr>
            <w:rFonts w:ascii="Arial" w:eastAsia="Times New Roman" w:hAnsi="Arial" w:cs="Arial"/>
            <w:color w:val="0000FF"/>
            <w:kern w:val="0"/>
            <w:sz w:val="20"/>
            <w:szCs w:val="20"/>
            <w:u w:val="single"/>
            <w:lang w:eastAsia="en-IN"/>
            <w14:ligatures w14:val="none"/>
          </w:rPr>
          <w:t>Annex</w:t>
        </w:r>
      </w:hyperlink>
      <w:r w:rsidRPr="000E190F">
        <w:rPr>
          <w:rFonts w:ascii="Arial" w:eastAsia="Times New Roman" w:hAnsi="Arial" w:cs="Arial"/>
          <w:color w:val="000000"/>
          <w:kern w:val="0"/>
          <w:sz w:val="20"/>
          <w:szCs w:val="20"/>
          <w:lang w:eastAsia="en-IN"/>
          <w14:ligatures w14:val="none"/>
        </w:rPr>
        <w:t> (Item 1).</w:t>
      </w:r>
    </w:p>
    <w:p w14:paraId="4C04C25B" w14:textId="77777777" w:rsidR="000E190F" w:rsidRPr="000E190F" w:rsidRDefault="000E190F" w:rsidP="000E190F">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CIs are advised to organise special awareness campaigns to sensitise their customers about benefits of submission of their mobile numbers/ email IDs.</w:t>
      </w:r>
    </w:p>
    <w:p w14:paraId="6DA0FCE4"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2.2. </w:t>
      </w:r>
      <w:r w:rsidRPr="000E190F">
        <w:rPr>
          <w:rFonts w:ascii="Arial" w:eastAsia="Times New Roman" w:hAnsi="Arial" w:cs="Arial"/>
          <w:b/>
          <w:bCs/>
          <w:color w:val="000000"/>
          <w:kern w:val="0"/>
          <w:sz w:val="20"/>
          <w:szCs w:val="20"/>
          <w:lang w:eastAsia="en-IN"/>
          <w14:ligatures w14:val="none"/>
        </w:rPr>
        <w:t>Setting up of Nodal points/ officials by CIs</w:t>
      </w:r>
    </w:p>
    <w:p w14:paraId="54129CE1" w14:textId="77777777" w:rsidR="000E190F" w:rsidRPr="000E190F" w:rsidRDefault="000E190F" w:rsidP="000E190F">
      <w:pPr>
        <w:numPr>
          <w:ilvl w:val="0"/>
          <w:numId w:val="5"/>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CIs shall have a dedicated nodal point/ official of contact for CICs for redress of customer grievances. Details of the nodal point/ official along with email ID and telephone/ mobile number shall be furnished by CIs to CICs.</w:t>
      </w:r>
    </w:p>
    <w:p w14:paraId="69194CDC" w14:textId="77777777" w:rsidR="000E190F" w:rsidRPr="000E190F" w:rsidRDefault="000E190F" w:rsidP="000E190F">
      <w:pPr>
        <w:numPr>
          <w:ilvl w:val="0"/>
          <w:numId w:val="5"/>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CIs shall inform CICs of any changes in the nodal points/ official within five (5) calendar days of such a change.</w:t>
      </w:r>
    </w:p>
    <w:p w14:paraId="0AA68E0F"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2.3. </w:t>
      </w:r>
      <w:r w:rsidRPr="000E190F">
        <w:rPr>
          <w:rFonts w:ascii="Arial" w:eastAsia="Times New Roman" w:hAnsi="Arial" w:cs="Arial"/>
          <w:b/>
          <w:bCs/>
          <w:color w:val="000000"/>
          <w:kern w:val="0"/>
          <w:sz w:val="20"/>
          <w:szCs w:val="20"/>
          <w:lang w:eastAsia="en-IN"/>
          <w14:ligatures w14:val="none"/>
        </w:rPr>
        <w:t>Root Cause Analysis of the Complaints by CIs</w:t>
      </w:r>
    </w:p>
    <w:p w14:paraId="32A48BC6" w14:textId="77777777" w:rsidR="000E190F" w:rsidRPr="000E190F" w:rsidRDefault="000E190F" w:rsidP="000E190F">
      <w:pPr>
        <w:numPr>
          <w:ilvl w:val="0"/>
          <w:numId w:val="6"/>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lastRenderedPageBreak/>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14:paraId="6D92F8DA" w14:textId="77777777" w:rsidR="000E190F" w:rsidRPr="000E190F" w:rsidRDefault="000E190F" w:rsidP="000E190F">
      <w:pPr>
        <w:numPr>
          <w:ilvl w:val="0"/>
          <w:numId w:val="6"/>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Analysis of the RCA shall be reviewed by the Top Management of CIs, at least, on an annual basis.</w:t>
      </w:r>
    </w:p>
    <w:p w14:paraId="3A61BFCD"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2.4. </w:t>
      </w:r>
      <w:r w:rsidRPr="000E190F">
        <w:rPr>
          <w:rFonts w:ascii="Arial" w:eastAsia="Times New Roman" w:hAnsi="Arial" w:cs="Arial"/>
          <w:b/>
          <w:bCs/>
          <w:color w:val="000000"/>
          <w:kern w:val="0"/>
          <w:sz w:val="20"/>
          <w:szCs w:val="20"/>
          <w:lang w:eastAsia="en-IN"/>
          <w14:ligatures w14:val="none"/>
        </w:rPr>
        <w:t>Reasons for rejection of requests for data correction by CIs</w:t>
      </w:r>
    </w:p>
    <w:p w14:paraId="5307F802" w14:textId="77777777" w:rsidR="000E190F" w:rsidRPr="000E190F" w:rsidRDefault="000E190F" w:rsidP="000E190F">
      <w:pPr>
        <w:numPr>
          <w:ilvl w:val="0"/>
          <w:numId w:val="7"/>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CIs shall inform the customers the reasons for the rejection of their request for data correction, if any, to enable such customers to better understand the issues in the CIR.</w:t>
      </w:r>
    </w:p>
    <w:p w14:paraId="73C24B13" w14:textId="77777777" w:rsidR="000E190F" w:rsidRPr="000E190F" w:rsidRDefault="000E190F" w:rsidP="000E190F">
      <w:pPr>
        <w:numPr>
          <w:ilvl w:val="0"/>
          <w:numId w:val="7"/>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A list of reasons for rejection of requests shall be circulated by CICs to all CIs. CIs shall use the same while communicating the rejections of the request for data correction made by customers/ CICs during the grievance redress process.</w:t>
      </w:r>
    </w:p>
    <w:p w14:paraId="7FC71CBF"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2.5. </w:t>
      </w:r>
      <w:r w:rsidRPr="000E190F">
        <w:rPr>
          <w:rFonts w:ascii="Arial" w:eastAsia="Times New Roman" w:hAnsi="Arial" w:cs="Arial"/>
          <w:b/>
          <w:bCs/>
          <w:color w:val="000000"/>
          <w:kern w:val="0"/>
          <w:sz w:val="20"/>
          <w:szCs w:val="20"/>
          <w:lang w:eastAsia="en-IN"/>
          <w14:ligatures w14:val="none"/>
        </w:rPr>
        <w:t>Periodic review of match logic algorithm by CICs</w:t>
      </w:r>
    </w:p>
    <w:p w14:paraId="14A6CD8A" w14:textId="77777777" w:rsidR="000E190F" w:rsidRPr="000E190F" w:rsidRDefault="000E190F" w:rsidP="000E190F">
      <w:pPr>
        <w:numPr>
          <w:ilvl w:val="0"/>
          <w:numId w:val="8"/>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CICs shall have a board-approved policy for undertaking periodic review (at least on a half-yearly basis) of the ‘Search &amp; Match’ logic algorithm implemented by them to provide Credit Information Report (CIR) of a borrower.</w:t>
      </w:r>
    </w:p>
    <w:p w14:paraId="5E27EE3D" w14:textId="77777777" w:rsidR="000E190F" w:rsidRPr="000E190F" w:rsidRDefault="000E190F" w:rsidP="000E190F">
      <w:pPr>
        <w:numPr>
          <w:ilvl w:val="0"/>
          <w:numId w:val="8"/>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Root Cause Analysis (RCA) of the complaints being undertaken by CICs shall be used to identify issues in the existing ‘Search &amp; Match’ logic algorithm.</w:t>
      </w:r>
    </w:p>
    <w:p w14:paraId="3CEB8276" w14:textId="77777777" w:rsidR="000E190F" w:rsidRPr="000E190F" w:rsidRDefault="000E190F" w:rsidP="000E190F">
      <w:pPr>
        <w:numPr>
          <w:ilvl w:val="0"/>
          <w:numId w:val="8"/>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Results of the RCA and subsequent changes in the search and match logic shall be placed before the Board of Directors of the CIC for review.</w:t>
      </w:r>
    </w:p>
    <w:p w14:paraId="31F8BCB7"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2.6. </w:t>
      </w:r>
      <w:r w:rsidRPr="000E190F">
        <w:rPr>
          <w:rFonts w:ascii="Arial" w:eastAsia="Times New Roman" w:hAnsi="Arial" w:cs="Arial"/>
          <w:b/>
          <w:bCs/>
          <w:color w:val="000000"/>
          <w:kern w:val="0"/>
          <w:sz w:val="20"/>
          <w:szCs w:val="20"/>
          <w:lang w:eastAsia="en-IN"/>
          <w14:ligatures w14:val="none"/>
        </w:rPr>
        <w:t>Ingestion of credit information data by CICs</w:t>
      </w:r>
    </w:p>
    <w:p w14:paraId="2E6C75C6" w14:textId="77777777" w:rsidR="000E190F" w:rsidRPr="000E190F" w:rsidRDefault="000E190F" w:rsidP="000E190F">
      <w:pPr>
        <w:numPr>
          <w:ilvl w:val="0"/>
          <w:numId w:val="9"/>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CICs shall ingest credit information data received from the Credit Institutions (CIs) as per its data acceptance rules, into their databases within seven (7) calendar days of its receipt from the CIs.</w:t>
      </w:r>
    </w:p>
    <w:p w14:paraId="11EEF6BD" w14:textId="77777777" w:rsidR="000E190F" w:rsidRPr="000E190F" w:rsidRDefault="000E190F" w:rsidP="000E190F">
      <w:pPr>
        <w:numPr>
          <w:ilvl w:val="0"/>
          <w:numId w:val="9"/>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In case of data rejection, CICs shall communicate to the concerned CI, regarding rejection of the data with reasons, within seven (7) calendar days of receipt of the data.</w:t>
      </w:r>
    </w:p>
    <w:p w14:paraId="177C60EB"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2.7. </w:t>
      </w:r>
      <w:r w:rsidRPr="000E190F">
        <w:rPr>
          <w:rFonts w:ascii="Arial" w:eastAsia="Times New Roman" w:hAnsi="Arial" w:cs="Arial"/>
          <w:b/>
          <w:bCs/>
          <w:color w:val="000000"/>
          <w:kern w:val="0"/>
          <w:sz w:val="20"/>
          <w:szCs w:val="20"/>
          <w:lang w:eastAsia="en-IN"/>
          <w14:ligatures w14:val="none"/>
        </w:rPr>
        <w:t>Disclosure of complaints on credit information reporting by CICs</w:t>
      </w:r>
    </w:p>
    <w:p w14:paraId="199EC9F3"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CICs shall disclose on their websites, details of complaints registered against them and CIs as per the format given in </w:t>
      </w:r>
      <w:hyperlink r:id="rId34" w:tgtFrame="_blank" w:history="1">
        <w:r w:rsidRPr="000E190F">
          <w:rPr>
            <w:rFonts w:ascii="Arial" w:eastAsia="Times New Roman" w:hAnsi="Arial" w:cs="Arial"/>
            <w:color w:val="0000FF"/>
            <w:kern w:val="0"/>
            <w:sz w:val="20"/>
            <w:szCs w:val="20"/>
            <w:u w:val="single"/>
            <w:lang w:eastAsia="en-IN"/>
            <w14:ligatures w14:val="none"/>
          </w:rPr>
          <w:t>Annex</w:t>
        </w:r>
      </w:hyperlink>
      <w:r w:rsidRPr="000E190F">
        <w:rPr>
          <w:rFonts w:ascii="Arial" w:eastAsia="Times New Roman" w:hAnsi="Arial" w:cs="Arial"/>
          <w:color w:val="000000"/>
          <w:kern w:val="0"/>
          <w:sz w:val="20"/>
          <w:szCs w:val="20"/>
          <w:lang w:eastAsia="en-IN"/>
          <w14:ligatures w14:val="none"/>
        </w:rPr>
        <w:t> (Table 1 and 2).</w:t>
      </w:r>
    </w:p>
    <w:p w14:paraId="7BB63A0D"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2.8. </w:t>
      </w:r>
      <w:r w:rsidRPr="000E190F">
        <w:rPr>
          <w:rFonts w:ascii="Arial" w:eastAsia="Times New Roman" w:hAnsi="Arial" w:cs="Arial"/>
          <w:b/>
          <w:bCs/>
          <w:color w:val="000000"/>
          <w:kern w:val="0"/>
          <w:sz w:val="20"/>
          <w:szCs w:val="20"/>
          <w:lang w:eastAsia="en-IN"/>
          <w14:ligatures w14:val="none"/>
        </w:rPr>
        <w:t>Easy access to Free Full Credit Report for the individuals by CICs</w:t>
      </w:r>
    </w:p>
    <w:p w14:paraId="18DE0F91"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CICs shall provide easy access to Free Full Credit Report</w:t>
      </w:r>
      <w:hyperlink r:id="rId35" w:anchor="FT1" w:history="1">
        <w:r w:rsidRPr="000E190F">
          <w:rPr>
            <w:rFonts w:ascii="Arial" w:eastAsia="Times New Roman" w:hAnsi="Arial" w:cs="Arial"/>
            <w:color w:val="0000FF"/>
            <w:kern w:val="0"/>
            <w:sz w:val="15"/>
            <w:szCs w:val="15"/>
            <w:u w:val="single"/>
            <w:vertAlign w:val="superscript"/>
            <w:lang w:eastAsia="en-IN"/>
            <w14:ligatures w14:val="none"/>
          </w:rPr>
          <w:t>1</w:t>
        </w:r>
      </w:hyperlink>
      <w:r w:rsidRPr="000E190F">
        <w:rPr>
          <w:rFonts w:ascii="Arial" w:eastAsia="Times New Roman" w:hAnsi="Arial" w:cs="Arial"/>
          <w:color w:val="000000"/>
          <w:kern w:val="0"/>
          <w:sz w:val="20"/>
          <w:szCs w:val="20"/>
          <w:lang w:eastAsia="en-IN"/>
          <w14:ligatures w14:val="none"/>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14:paraId="1A07F77C"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3. The directions shall come into effect six (6) months from the date of this circular. CICs and CIs are directed to put in place necessary systems and processes to implement these directions within this period.</w:t>
      </w:r>
    </w:p>
    <w:p w14:paraId="3EAE004D"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344E62EA"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Yours faithfully,</w:t>
      </w:r>
    </w:p>
    <w:p w14:paraId="3E3575C9" w14:textId="77777777" w:rsidR="000E190F" w:rsidRPr="000E190F" w:rsidRDefault="000E190F"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 xml:space="preserve">(R. Lakshmi </w:t>
      </w:r>
      <w:proofErr w:type="spellStart"/>
      <w:r w:rsidRPr="000E190F">
        <w:rPr>
          <w:rFonts w:ascii="Arial" w:eastAsia="Times New Roman" w:hAnsi="Arial" w:cs="Arial"/>
          <w:color w:val="000000"/>
          <w:kern w:val="0"/>
          <w:sz w:val="20"/>
          <w:szCs w:val="20"/>
          <w:lang w:eastAsia="en-IN"/>
          <w14:ligatures w14:val="none"/>
        </w:rPr>
        <w:t>Kanth</w:t>
      </w:r>
      <w:proofErr w:type="spellEnd"/>
      <w:r w:rsidRPr="000E190F">
        <w:rPr>
          <w:rFonts w:ascii="Arial" w:eastAsia="Times New Roman" w:hAnsi="Arial" w:cs="Arial"/>
          <w:color w:val="000000"/>
          <w:kern w:val="0"/>
          <w:sz w:val="20"/>
          <w:szCs w:val="20"/>
          <w:lang w:eastAsia="en-IN"/>
          <w14:ligatures w14:val="none"/>
        </w:rPr>
        <w:t xml:space="preserve"> Rao)</w:t>
      </w:r>
      <w:r w:rsidRPr="000E190F">
        <w:rPr>
          <w:rFonts w:ascii="Arial" w:eastAsia="Times New Roman" w:hAnsi="Arial" w:cs="Arial"/>
          <w:color w:val="000000"/>
          <w:kern w:val="0"/>
          <w:sz w:val="20"/>
          <w:szCs w:val="20"/>
          <w:lang w:eastAsia="en-IN"/>
          <w14:ligatures w14:val="none"/>
        </w:rPr>
        <w:br/>
        <w:t>Chief General Manager-in-Charge</w:t>
      </w:r>
    </w:p>
    <w:p w14:paraId="178BFD9B" w14:textId="77777777" w:rsidR="001C1285" w:rsidRDefault="000E190F" w:rsidP="001C128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Encl. Annex</w:t>
      </w:r>
      <w:r w:rsidR="001C1285">
        <w:rPr>
          <w:rFonts w:ascii="Arial" w:eastAsia="Times New Roman" w:hAnsi="Arial" w:cs="Arial"/>
          <w:color w:val="000000"/>
          <w:kern w:val="0"/>
          <w:sz w:val="20"/>
          <w:szCs w:val="20"/>
          <w:lang w:eastAsia="en-IN"/>
          <w14:ligatures w14:val="none"/>
        </w:rPr>
        <w:t>.</w:t>
      </w:r>
    </w:p>
    <w:p w14:paraId="7A55316B" w14:textId="77777777" w:rsidR="00A71B1B" w:rsidRDefault="00A71B1B"/>
    <w:p w14:paraId="248A7796" w14:textId="688CBDAB" w:rsidR="00057271" w:rsidRDefault="00057271">
      <w:r w:rsidRPr="00057271">
        <w:lastRenderedPageBreak/>
        <w:t>For more details, Kindly refer:</w:t>
      </w:r>
    </w:p>
    <w:p w14:paraId="416644FA" w14:textId="7264EAA4" w:rsidR="000E190F" w:rsidRDefault="00A71B1B">
      <w:hyperlink r:id="rId36" w:history="1">
        <w:r w:rsidR="000E190F" w:rsidRPr="009F155A">
          <w:rPr>
            <w:rStyle w:val="Hyperlink"/>
          </w:rPr>
          <w:t>https://rbi.org.in/Scripts/NotificationUser.aspx?Id=12553&amp;Mode=0</w:t>
        </w:r>
      </w:hyperlink>
    </w:p>
    <w:p w14:paraId="4E199872" w14:textId="661098B6" w:rsidR="000E190F" w:rsidRDefault="000E190F"/>
    <w:p w14:paraId="67E3812B" w14:textId="0C64E055" w:rsidR="000E190F" w:rsidRDefault="000E190F"/>
    <w:p w14:paraId="0CCCF1C7"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45BD3C9"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32B169C"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F81B09E"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627006A"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4C739E5"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ABF85CD"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ED66C04"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4E77026"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20BC9C4"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C3491BB"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FCEDE78"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6B29A08"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A99844E"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ED4DABA"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C0BD535"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63CB005"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3F60B25"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7649E0A"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7120F13"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3764AA4"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F796CEE" w14:textId="77777777" w:rsidR="002A7376" w:rsidRDefault="002A7376" w:rsidP="000E190F">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086A5063" w14:textId="77777777" w:rsidR="002A7376" w:rsidRDefault="002A7376" w:rsidP="000E190F">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84BAEB5" w14:textId="3155D015" w:rsidR="00272E7F" w:rsidRPr="007C1BDC" w:rsidRDefault="007C1BDC" w:rsidP="000E190F">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7C1BDC">
        <w:rPr>
          <w:rFonts w:eastAsia="Times New Roman" w:cstheme="minorHAnsi"/>
          <w:b/>
          <w:color w:val="000000"/>
          <w:kern w:val="0"/>
          <w:sz w:val="24"/>
          <w:szCs w:val="24"/>
          <w:lang w:eastAsia="en-IN"/>
          <w14:ligatures w14:val="none"/>
        </w:rPr>
        <w:lastRenderedPageBreak/>
        <w:t>MHP Exemption for Transfer of Receivables</w:t>
      </w:r>
    </w:p>
    <w:p w14:paraId="3C3E8EDE"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E2E94C7" w14:textId="77777777" w:rsidR="00272E7F" w:rsidRDefault="00272E7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2609A77" w14:textId="3A28C1E8"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RBI/2023-24/99</w:t>
      </w:r>
      <w:r w:rsidRPr="000E190F">
        <w:rPr>
          <w:rFonts w:ascii="Arial" w:eastAsia="Times New Roman" w:hAnsi="Arial" w:cs="Arial"/>
          <w:color w:val="000000"/>
          <w:kern w:val="0"/>
          <w:sz w:val="20"/>
          <w:szCs w:val="20"/>
          <w:lang w:eastAsia="en-IN"/>
          <w14:ligatures w14:val="none"/>
        </w:rPr>
        <w:br/>
        <w:t>DOR.STR.REC.60/21.04.048/2023-24</w:t>
      </w:r>
    </w:p>
    <w:p w14:paraId="2F12B72D" w14:textId="77777777" w:rsidR="000E190F" w:rsidRPr="000E190F" w:rsidRDefault="000E190F" w:rsidP="000E190F">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December 28, 2023</w:t>
      </w:r>
    </w:p>
    <w:p w14:paraId="7C09FB0E" w14:textId="77777777" w:rsidR="000E190F" w:rsidRPr="000E190F" w:rsidRDefault="000E190F"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All Scheduled Commercial Banks (excluding Regional Rural Banks)</w:t>
      </w:r>
      <w:r w:rsidRPr="000E190F">
        <w:rPr>
          <w:rFonts w:ascii="Arial" w:eastAsia="Times New Roman" w:hAnsi="Arial" w:cs="Arial"/>
          <w:color w:val="000000"/>
          <w:kern w:val="0"/>
          <w:sz w:val="20"/>
          <w:szCs w:val="20"/>
          <w:lang w:eastAsia="en-IN"/>
          <w14:ligatures w14:val="none"/>
        </w:rPr>
        <w:br/>
        <w:t>All All-India Financial Institutions</w:t>
      </w:r>
      <w:r w:rsidRPr="000E190F">
        <w:rPr>
          <w:rFonts w:ascii="Arial" w:eastAsia="Times New Roman" w:hAnsi="Arial" w:cs="Arial"/>
          <w:color w:val="000000"/>
          <w:kern w:val="0"/>
          <w:sz w:val="20"/>
          <w:szCs w:val="20"/>
          <w:lang w:eastAsia="en-IN"/>
          <w14:ligatures w14:val="none"/>
        </w:rPr>
        <w:br/>
        <w:t>All Non-Banking Financial Companies (including Housing Finance Companies)</w:t>
      </w:r>
    </w:p>
    <w:p w14:paraId="25F153C1" w14:textId="77777777" w:rsidR="000E190F" w:rsidRPr="000E190F" w:rsidRDefault="000E190F" w:rsidP="000E190F">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E190F">
        <w:rPr>
          <w:rFonts w:ascii="Arial" w:eastAsia="Times New Roman" w:hAnsi="Arial" w:cs="Arial"/>
          <w:b/>
          <w:bCs/>
          <w:color w:val="000000"/>
          <w:kern w:val="0"/>
          <w:sz w:val="20"/>
          <w:szCs w:val="20"/>
          <w:lang w:eastAsia="en-IN"/>
          <w14:ligatures w14:val="none"/>
        </w:rPr>
        <w:t>MHP Exemption for Transfer of Receivables</w:t>
      </w:r>
    </w:p>
    <w:p w14:paraId="3626DCC5"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Please refer to clause 39, of the </w:t>
      </w:r>
      <w:hyperlink r:id="rId37" w:tgtFrame="_blank" w:history="1">
        <w:r w:rsidRPr="000E190F">
          <w:rPr>
            <w:rFonts w:ascii="Arial" w:eastAsia="Times New Roman" w:hAnsi="Arial" w:cs="Arial"/>
            <w:color w:val="0000FF"/>
            <w:kern w:val="0"/>
            <w:sz w:val="20"/>
            <w:szCs w:val="20"/>
            <w:u w:val="single"/>
            <w:lang w:eastAsia="en-IN"/>
            <w14:ligatures w14:val="none"/>
          </w:rPr>
          <w:t>Master Direction – Reserve Bank of India (Transfer of Loan Exposures) Directions, 2021 (“MD-TLE”)</w:t>
        </w:r>
      </w:hyperlink>
      <w:r w:rsidRPr="000E190F">
        <w:rPr>
          <w:rFonts w:ascii="Arial" w:eastAsia="Times New Roman" w:hAnsi="Arial" w:cs="Arial"/>
          <w:color w:val="000000"/>
          <w:kern w:val="0"/>
          <w:sz w:val="20"/>
          <w:szCs w:val="20"/>
          <w:lang w:eastAsia="en-IN"/>
          <w14:ligatures w14:val="none"/>
        </w:rPr>
        <w:t>, regarding requirement of Minimum Holding Period (MHP) on transfer of loans.</w:t>
      </w:r>
    </w:p>
    <w:p w14:paraId="0BF03A40"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 In order to develop secondary market operations of receivables acquired as part of ‘factoring business’ as defined under the Factoring Regulation Act, 2011, it has been decided that transfer of such receivables by eligible transferors will be exempted from MHP requirement, subject to fulfilment of the following conditions:</w:t>
      </w:r>
    </w:p>
    <w:p w14:paraId="19F76412" w14:textId="77777777" w:rsidR="000E190F" w:rsidRPr="000E190F" w:rsidRDefault="000E190F" w:rsidP="000E190F">
      <w:pPr>
        <w:numPr>
          <w:ilvl w:val="0"/>
          <w:numId w:val="10"/>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The residual maturity of such receivables, at the time of transfer, should not be more than 90 days, and</w:t>
      </w:r>
    </w:p>
    <w:p w14:paraId="42C6D092" w14:textId="77777777" w:rsidR="000E190F" w:rsidRPr="000E190F" w:rsidRDefault="000E190F" w:rsidP="000E190F">
      <w:pPr>
        <w:numPr>
          <w:ilvl w:val="0"/>
          <w:numId w:val="10"/>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As specified under clauses 10 and 35 of these directions, the transferee conducts proper credit appraisal of the drawee of the bill, before acquiring such receivables.</w:t>
      </w:r>
    </w:p>
    <w:p w14:paraId="603C3632"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3. Accordingly, a suitable proviso has been added to clause 39 of MD-TLE, through amendment dated December 28, 2023.</w:t>
      </w:r>
    </w:p>
    <w:p w14:paraId="00F80F1C"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4. All other provisions of the MD-TLE shall continue to be applicable, as hitherto.</w:t>
      </w:r>
    </w:p>
    <w:p w14:paraId="47684AB6"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Yours faithfully,</w:t>
      </w:r>
    </w:p>
    <w:p w14:paraId="07070209" w14:textId="77777777" w:rsidR="000E190F" w:rsidRPr="000E190F" w:rsidRDefault="000E190F"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w:t>
      </w:r>
      <w:proofErr w:type="spellStart"/>
      <w:r w:rsidRPr="000E190F">
        <w:rPr>
          <w:rFonts w:ascii="Arial" w:eastAsia="Times New Roman" w:hAnsi="Arial" w:cs="Arial"/>
          <w:color w:val="000000"/>
          <w:kern w:val="0"/>
          <w:sz w:val="20"/>
          <w:szCs w:val="20"/>
          <w:lang w:eastAsia="en-IN"/>
          <w14:ligatures w14:val="none"/>
        </w:rPr>
        <w:t>Vaibhav</w:t>
      </w:r>
      <w:proofErr w:type="spellEnd"/>
      <w:r w:rsidRPr="000E190F">
        <w:rPr>
          <w:rFonts w:ascii="Arial" w:eastAsia="Times New Roman" w:hAnsi="Arial" w:cs="Arial"/>
          <w:color w:val="000000"/>
          <w:kern w:val="0"/>
          <w:sz w:val="20"/>
          <w:szCs w:val="20"/>
          <w:lang w:eastAsia="en-IN"/>
          <w14:ligatures w14:val="none"/>
        </w:rPr>
        <w:t xml:space="preserve"> </w:t>
      </w:r>
      <w:proofErr w:type="spellStart"/>
      <w:r w:rsidRPr="000E190F">
        <w:rPr>
          <w:rFonts w:ascii="Arial" w:eastAsia="Times New Roman" w:hAnsi="Arial" w:cs="Arial"/>
          <w:color w:val="000000"/>
          <w:kern w:val="0"/>
          <w:sz w:val="20"/>
          <w:szCs w:val="20"/>
          <w:lang w:eastAsia="en-IN"/>
          <w14:ligatures w14:val="none"/>
        </w:rPr>
        <w:t>Chaturvedi</w:t>
      </w:r>
      <w:proofErr w:type="spellEnd"/>
      <w:r w:rsidRPr="000E190F">
        <w:rPr>
          <w:rFonts w:ascii="Arial" w:eastAsia="Times New Roman" w:hAnsi="Arial" w:cs="Arial"/>
          <w:color w:val="000000"/>
          <w:kern w:val="0"/>
          <w:sz w:val="20"/>
          <w:szCs w:val="20"/>
          <w:lang w:eastAsia="en-IN"/>
          <w14:ligatures w14:val="none"/>
        </w:rPr>
        <w:t>)</w:t>
      </w:r>
      <w:r w:rsidRPr="000E190F">
        <w:rPr>
          <w:rFonts w:ascii="Arial" w:eastAsia="Times New Roman" w:hAnsi="Arial" w:cs="Arial"/>
          <w:color w:val="000000"/>
          <w:kern w:val="0"/>
          <w:sz w:val="20"/>
          <w:szCs w:val="20"/>
          <w:lang w:eastAsia="en-IN"/>
          <w14:ligatures w14:val="none"/>
        </w:rPr>
        <w:br/>
        <w:t>Chief General Manager</w:t>
      </w:r>
    </w:p>
    <w:p w14:paraId="0D97E5E3" w14:textId="77777777" w:rsidR="000E190F" w:rsidRDefault="000E190F" w:rsidP="000E190F">
      <w:pPr>
        <w:pStyle w:val="NoSpacing"/>
      </w:pPr>
    </w:p>
    <w:p w14:paraId="144E46BF" w14:textId="77777777" w:rsidR="000E190F" w:rsidRDefault="000E190F" w:rsidP="000E190F">
      <w:pPr>
        <w:pStyle w:val="NoSpacing"/>
      </w:pPr>
    </w:p>
    <w:p w14:paraId="0FCD77FA" w14:textId="77777777" w:rsidR="000E190F" w:rsidRDefault="000E190F" w:rsidP="000E190F">
      <w:pPr>
        <w:pStyle w:val="NoSpacing"/>
      </w:pPr>
    </w:p>
    <w:p w14:paraId="09297F4B" w14:textId="77777777" w:rsidR="00057271" w:rsidRDefault="00057271">
      <w:r w:rsidRPr="00057271">
        <w:t>For more details, Kindly refer:</w:t>
      </w:r>
    </w:p>
    <w:p w14:paraId="14FEDC0C" w14:textId="43BEC8C8" w:rsidR="000E190F" w:rsidRDefault="00A71B1B">
      <w:hyperlink r:id="rId38" w:history="1">
        <w:r w:rsidR="000E190F" w:rsidRPr="009F155A">
          <w:rPr>
            <w:rStyle w:val="Hyperlink"/>
          </w:rPr>
          <w:t>https://rbi.org.in/Scripts/NotificationUser.aspx?Id=12582&amp;Mode=0</w:t>
        </w:r>
      </w:hyperlink>
    </w:p>
    <w:p w14:paraId="359A22B3" w14:textId="3B9E0D27" w:rsidR="000E190F" w:rsidRDefault="000E190F"/>
    <w:p w14:paraId="396B6AEF" w14:textId="68F21D87" w:rsidR="000E190F" w:rsidRDefault="000E190F"/>
    <w:p w14:paraId="2B63A18E" w14:textId="28399270" w:rsidR="000E190F" w:rsidRDefault="000E190F"/>
    <w:p w14:paraId="43B3A1F6" w14:textId="5D593AF3" w:rsidR="000E190F" w:rsidRDefault="000E190F"/>
    <w:p w14:paraId="43375B49" w14:textId="37D8A675" w:rsidR="000E190F" w:rsidRPr="00200153" w:rsidRDefault="00200153" w:rsidP="00200153">
      <w:pPr>
        <w:jc w:val="both"/>
        <w:rPr>
          <w:b/>
          <w:sz w:val="24"/>
          <w:szCs w:val="24"/>
        </w:rPr>
      </w:pPr>
      <w:r w:rsidRPr="00200153">
        <w:rPr>
          <w:b/>
          <w:sz w:val="24"/>
          <w:szCs w:val="24"/>
        </w:rPr>
        <w:lastRenderedPageBreak/>
        <w:t>Fair Lending Practice - Penal Charges in Loan Accounts: Extension of Timeline for Implementation of Instructions</w:t>
      </w:r>
    </w:p>
    <w:p w14:paraId="14C0E7BB" w14:textId="1448E84F"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RBI/2023-24/102</w:t>
      </w:r>
      <w:r w:rsidRPr="000E190F">
        <w:rPr>
          <w:rFonts w:ascii="Arial" w:eastAsia="Times New Roman" w:hAnsi="Arial" w:cs="Arial"/>
          <w:color w:val="000000"/>
          <w:kern w:val="0"/>
          <w:sz w:val="20"/>
          <w:szCs w:val="20"/>
          <w:lang w:eastAsia="en-IN"/>
          <w14:ligatures w14:val="none"/>
        </w:rPr>
        <w:br/>
        <w:t>DoR.MCS.REC.61/01.01.001/2023-24</w:t>
      </w:r>
    </w:p>
    <w:p w14:paraId="4786BC50" w14:textId="77777777" w:rsidR="000E190F" w:rsidRPr="000E190F" w:rsidRDefault="000E190F" w:rsidP="000E190F">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December 29, 2023</w:t>
      </w:r>
    </w:p>
    <w:p w14:paraId="16F32411" w14:textId="77777777" w:rsidR="000E190F" w:rsidRPr="000E190F" w:rsidRDefault="000E190F"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0E190F">
        <w:rPr>
          <w:rFonts w:ascii="Arial" w:eastAsia="Times New Roman" w:hAnsi="Arial" w:cs="Arial"/>
          <w:color w:val="000000"/>
          <w:kern w:val="0"/>
          <w:sz w:val="20"/>
          <w:szCs w:val="20"/>
          <w:lang w:eastAsia="en-IN"/>
          <w14:ligatures w14:val="none"/>
        </w:rPr>
        <w:br/>
        <w:t>All Primary (Urban) Co-operative Banks</w:t>
      </w:r>
      <w:r w:rsidRPr="000E190F">
        <w:rPr>
          <w:rFonts w:ascii="Arial" w:eastAsia="Times New Roman" w:hAnsi="Arial" w:cs="Arial"/>
          <w:color w:val="000000"/>
          <w:kern w:val="0"/>
          <w:sz w:val="20"/>
          <w:szCs w:val="20"/>
          <w:lang w:eastAsia="en-IN"/>
          <w14:ligatures w14:val="none"/>
        </w:rPr>
        <w:br/>
        <w:t>All NBFCs (including HFCs) and</w:t>
      </w:r>
      <w:r w:rsidRPr="000E190F">
        <w:rPr>
          <w:rFonts w:ascii="Arial" w:eastAsia="Times New Roman" w:hAnsi="Arial" w:cs="Arial"/>
          <w:color w:val="000000"/>
          <w:kern w:val="0"/>
          <w:sz w:val="20"/>
          <w:szCs w:val="20"/>
          <w:lang w:eastAsia="en-IN"/>
          <w14:ligatures w14:val="none"/>
        </w:rPr>
        <w:br/>
        <w:t xml:space="preserve">All India Financial Institutions (EXIM Bank, NABARD, NHB, SIDBI and </w:t>
      </w:r>
      <w:proofErr w:type="spellStart"/>
      <w:r w:rsidRPr="000E190F">
        <w:rPr>
          <w:rFonts w:ascii="Arial" w:eastAsia="Times New Roman" w:hAnsi="Arial" w:cs="Arial"/>
          <w:color w:val="000000"/>
          <w:kern w:val="0"/>
          <w:sz w:val="20"/>
          <w:szCs w:val="20"/>
          <w:lang w:eastAsia="en-IN"/>
          <w14:ligatures w14:val="none"/>
        </w:rPr>
        <w:t>NaBFID</w:t>
      </w:r>
      <w:proofErr w:type="spellEnd"/>
      <w:r w:rsidRPr="000E190F">
        <w:rPr>
          <w:rFonts w:ascii="Arial" w:eastAsia="Times New Roman" w:hAnsi="Arial" w:cs="Arial"/>
          <w:color w:val="000000"/>
          <w:kern w:val="0"/>
          <w:sz w:val="20"/>
          <w:szCs w:val="20"/>
          <w:lang w:eastAsia="en-IN"/>
          <w14:ligatures w14:val="none"/>
        </w:rPr>
        <w:t>)</w:t>
      </w:r>
    </w:p>
    <w:p w14:paraId="08BB57A0"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Madam / Dear Sir,</w:t>
      </w:r>
    </w:p>
    <w:p w14:paraId="161D587D" w14:textId="77777777" w:rsidR="000E190F" w:rsidRPr="000E190F" w:rsidRDefault="000E190F" w:rsidP="000E190F">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E190F">
        <w:rPr>
          <w:rFonts w:ascii="Arial" w:eastAsia="Times New Roman" w:hAnsi="Arial" w:cs="Arial"/>
          <w:b/>
          <w:bCs/>
          <w:color w:val="000000"/>
          <w:kern w:val="0"/>
          <w:sz w:val="20"/>
          <w:szCs w:val="20"/>
          <w:lang w:eastAsia="en-IN"/>
          <w14:ligatures w14:val="none"/>
        </w:rPr>
        <w:t>Fair Lending Practice - Penal Charges in Loan Accounts: Extension of Timeline for Implementation of Instructions</w:t>
      </w:r>
    </w:p>
    <w:p w14:paraId="7ED87232"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Reference is invited to </w:t>
      </w:r>
      <w:hyperlink r:id="rId39" w:history="1">
        <w:r w:rsidRPr="000E190F">
          <w:rPr>
            <w:rFonts w:ascii="Arial" w:eastAsia="Times New Roman" w:hAnsi="Arial" w:cs="Arial"/>
            <w:color w:val="0000FF"/>
            <w:kern w:val="0"/>
            <w:sz w:val="20"/>
            <w:szCs w:val="20"/>
            <w:u w:val="single"/>
            <w:lang w:eastAsia="en-IN"/>
            <w14:ligatures w14:val="none"/>
          </w:rPr>
          <w:t>RBI circular DoR.MCS.REC.28/01.01.001/2023-24 dated August 18, 2023</w:t>
        </w:r>
      </w:hyperlink>
      <w:r w:rsidRPr="000E190F">
        <w:rPr>
          <w:rFonts w:ascii="Arial" w:eastAsia="Times New Roman" w:hAnsi="Arial" w:cs="Arial"/>
          <w:color w:val="000000"/>
          <w:kern w:val="0"/>
          <w:sz w:val="20"/>
          <w:szCs w:val="20"/>
          <w:lang w:eastAsia="en-IN"/>
          <w14:ligatures w14:val="none"/>
        </w:rPr>
        <w:t> on ‘Fair Lending Practice - Penal Charges in Loan Accounts’.</w:t>
      </w:r>
    </w:p>
    <w:p w14:paraId="50A1F09C"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14:paraId="6F9861AB"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3. A set of </w:t>
      </w:r>
      <w:hyperlink r:id="rId40" w:tgtFrame="_blank" w:history="1">
        <w:r w:rsidRPr="000E190F">
          <w:rPr>
            <w:rFonts w:ascii="Arial" w:eastAsia="Times New Roman" w:hAnsi="Arial" w:cs="Arial"/>
            <w:color w:val="0000FF"/>
            <w:kern w:val="0"/>
            <w:sz w:val="20"/>
            <w:szCs w:val="20"/>
            <w:u w:val="single"/>
            <w:lang w:eastAsia="en-IN"/>
            <w14:ligatures w14:val="none"/>
          </w:rPr>
          <w:t>frequently asked questions (FAQs)</w:t>
        </w:r>
      </w:hyperlink>
      <w:r w:rsidRPr="000E190F">
        <w:rPr>
          <w:rFonts w:ascii="Arial" w:eastAsia="Times New Roman" w:hAnsi="Arial" w:cs="Arial"/>
          <w:color w:val="000000"/>
          <w:kern w:val="0"/>
          <w:sz w:val="20"/>
          <w:szCs w:val="20"/>
          <w:lang w:eastAsia="en-IN"/>
          <w14:ligatures w14:val="none"/>
        </w:rPr>
        <w:t> providing clarifications related to implementation of the circular will be uploaded in the FAQs section of the RBI website shortly.</w:t>
      </w:r>
    </w:p>
    <w:p w14:paraId="43E7C486"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Yours faithfully,</w:t>
      </w:r>
    </w:p>
    <w:p w14:paraId="2D6B15A2" w14:textId="77777777" w:rsidR="000E190F" w:rsidRPr="000E190F" w:rsidRDefault="000E190F" w:rsidP="000E190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 xml:space="preserve">(Santosh Kumar </w:t>
      </w:r>
      <w:proofErr w:type="spellStart"/>
      <w:r w:rsidRPr="000E190F">
        <w:rPr>
          <w:rFonts w:ascii="Arial" w:eastAsia="Times New Roman" w:hAnsi="Arial" w:cs="Arial"/>
          <w:color w:val="000000"/>
          <w:kern w:val="0"/>
          <w:sz w:val="20"/>
          <w:szCs w:val="20"/>
          <w:lang w:eastAsia="en-IN"/>
          <w14:ligatures w14:val="none"/>
        </w:rPr>
        <w:t>Panigrahy</w:t>
      </w:r>
      <w:proofErr w:type="spellEnd"/>
      <w:r w:rsidRPr="000E190F">
        <w:rPr>
          <w:rFonts w:ascii="Arial" w:eastAsia="Times New Roman" w:hAnsi="Arial" w:cs="Arial"/>
          <w:color w:val="000000"/>
          <w:kern w:val="0"/>
          <w:sz w:val="20"/>
          <w:szCs w:val="20"/>
          <w:lang w:eastAsia="en-IN"/>
          <w14:ligatures w14:val="none"/>
        </w:rPr>
        <w:t>)</w:t>
      </w:r>
      <w:r w:rsidRPr="000E190F">
        <w:rPr>
          <w:rFonts w:ascii="Arial" w:eastAsia="Times New Roman" w:hAnsi="Arial" w:cs="Arial"/>
          <w:color w:val="000000"/>
          <w:kern w:val="0"/>
          <w:sz w:val="20"/>
          <w:szCs w:val="20"/>
          <w:lang w:eastAsia="en-IN"/>
          <w14:ligatures w14:val="none"/>
        </w:rPr>
        <w:br/>
        <w:t>Chief General Manager</w:t>
      </w:r>
    </w:p>
    <w:p w14:paraId="629AF0DE" w14:textId="5A5AB31B" w:rsidR="000E190F" w:rsidRDefault="000E190F"/>
    <w:p w14:paraId="6495ED52" w14:textId="66BE5B32" w:rsidR="000E190F" w:rsidRDefault="000E190F"/>
    <w:p w14:paraId="3AE0D64D" w14:textId="77777777" w:rsidR="00057271" w:rsidRDefault="00057271">
      <w:r w:rsidRPr="00057271">
        <w:t>For more details, Kindly refer:</w:t>
      </w:r>
    </w:p>
    <w:p w14:paraId="2FBD8966" w14:textId="13F1B607" w:rsidR="000E190F" w:rsidRDefault="00A71B1B">
      <w:hyperlink r:id="rId41" w:history="1">
        <w:r w:rsidR="000E190F" w:rsidRPr="009F155A">
          <w:rPr>
            <w:rStyle w:val="Hyperlink"/>
          </w:rPr>
          <w:t>https://rbi.org.in/Scripts/NotificationUser.aspx?Id=12585&amp;Mode=0</w:t>
        </w:r>
      </w:hyperlink>
    </w:p>
    <w:p w14:paraId="02CA6F30" w14:textId="422ED03B" w:rsidR="000E190F" w:rsidRDefault="000E190F"/>
    <w:p w14:paraId="18F73BE1" w14:textId="5FC0F569" w:rsidR="000E190F" w:rsidRDefault="000E190F"/>
    <w:p w14:paraId="0893B2B6" w14:textId="253BA35F" w:rsidR="000E190F" w:rsidRDefault="000E190F"/>
    <w:p w14:paraId="7BF73046" w14:textId="5503F98B" w:rsidR="000E190F" w:rsidRDefault="000E190F"/>
    <w:p w14:paraId="31AE370D" w14:textId="182F9BA5" w:rsidR="007C1BDC" w:rsidRPr="000E190F" w:rsidRDefault="007C1BDC" w:rsidP="007C1BDC">
      <w:pPr>
        <w:spacing w:before="100" w:beforeAutospacing="1" w:after="100" w:afterAutospacing="1" w:line="240" w:lineRule="auto"/>
        <w:jc w:val="both"/>
        <w:rPr>
          <w:rFonts w:eastAsia="Times New Roman" w:cstheme="minorHAnsi"/>
          <w:b/>
          <w:bCs/>
          <w:color w:val="000000"/>
          <w:kern w:val="0"/>
          <w:sz w:val="24"/>
          <w:szCs w:val="24"/>
          <w:lang w:eastAsia="en-IN"/>
          <w14:ligatures w14:val="none"/>
        </w:rPr>
      </w:pPr>
      <w:r w:rsidRPr="000E190F">
        <w:rPr>
          <w:rFonts w:eastAsia="Times New Roman" w:cstheme="minorHAnsi"/>
          <w:b/>
          <w:bCs/>
          <w:color w:val="000000"/>
          <w:kern w:val="0"/>
          <w:sz w:val="24"/>
          <w:szCs w:val="24"/>
          <w:lang w:eastAsia="en-IN"/>
          <w14:ligatures w14:val="none"/>
        </w:rPr>
        <w:lastRenderedPageBreak/>
        <w:t>Master Direction - Reserve Bank of India (Internal Ombudsman for Regulated Entities) Directions, 2023</w:t>
      </w:r>
    </w:p>
    <w:p w14:paraId="2607B535" w14:textId="70751087" w:rsidR="000E190F" w:rsidRDefault="000E190F"/>
    <w:p w14:paraId="42C9791B"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RBI/CEPD/2023-24/108</w:t>
      </w:r>
      <w:r w:rsidRPr="000E190F">
        <w:rPr>
          <w:rFonts w:ascii="Arial" w:eastAsia="Times New Roman" w:hAnsi="Arial" w:cs="Arial"/>
          <w:color w:val="000000"/>
          <w:kern w:val="0"/>
          <w:sz w:val="20"/>
          <w:szCs w:val="20"/>
          <w:lang w:eastAsia="en-IN"/>
          <w14:ligatures w14:val="none"/>
        </w:rPr>
        <w:br/>
        <w:t>CEPD.PRD.No.S1228/13.01.019/2023-24</w:t>
      </w:r>
    </w:p>
    <w:p w14:paraId="4637C84A" w14:textId="77777777" w:rsidR="000E190F" w:rsidRPr="000E190F" w:rsidRDefault="000E190F" w:rsidP="000E190F">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December 29, 2023</w:t>
      </w:r>
    </w:p>
    <w:p w14:paraId="650BA3A9" w14:textId="77777777" w:rsidR="000E190F" w:rsidRPr="000E190F" w:rsidRDefault="000E190F" w:rsidP="001C128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(1) Chairman/Managing Director/CEO of All Scheduled Commercial Banks (excluding RRBs)</w:t>
      </w:r>
      <w:r w:rsidRPr="000E190F">
        <w:rPr>
          <w:rFonts w:ascii="Arial" w:eastAsia="Times New Roman" w:hAnsi="Arial" w:cs="Arial"/>
          <w:color w:val="000000"/>
          <w:kern w:val="0"/>
          <w:sz w:val="20"/>
          <w:szCs w:val="20"/>
          <w:lang w:eastAsia="en-IN"/>
          <w14:ligatures w14:val="none"/>
        </w:rPr>
        <w:br/>
        <w:t>(2) Chairman/Managing Director/CEO of All NBFCs</w:t>
      </w:r>
      <w:r w:rsidRPr="000E190F">
        <w:rPr>
          <w:rFonts w:ascii="Arial" w:eastAsia="Times New Roman" w:hAnsi="Arial" w:cs="Arial"/>
          <w:color w:val="000000"/>
          <w:kern w:val="0"/>
          <w:sz w:val="20"/>
          <w:szCs w:val="20"/>
          <w:lang w:eastAsia="en-IN"/>
          <w14:ligatures w14:val="none"/>
        </w:rPr>
        <w:br/>
        <w:t>(3) Chairman/Managing Director/CEO of Non-Bank System Participants</w:t>
      </w:r>
      <w:r w:rsidRPr="000E190F">
        <w:rPr>
          <w:rFonts w:ascii="Arial" w:eastAsia="Times New Roman" w:hAnsi="Arial" w:cs="Arial"/>
          <w:color w:val="000000"/>
          <w:kern w:val="0"/>
          <w:sz w:val="20"/>
          <w:szCs w:val="20"/>
          <w:lang w:eastAsia="en-IN"/>
          <w14:ligatures w14:val="none"/>
        </w:rPr>
        <w:br/>
        <w:t>(4) Chairman/Managing Director/CEO of All Credit Information Companies</w:t>
      </w:r>
    </w:p>
    <w:p w14:paraId="0A927000"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Dear Sir / Madam,</w:t>
      </w:r>
    </w:p>
    <w:p w14:paraId="2EDF6F2A" w14:textId="77777777" w:rsidR="000E190F" w:rsidRPr="000E190F" w:rsidRDefault="000E190F" w:rsidP="000E190F">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E190F">
        <w:rPr>
          <w:rFonts w:ascii="Arial" w:eastAsia="Times New Roman" w:hAnsi="Arial" w:cs="Arial"/>
          <w:b/>
          <w:bCs/>
          <w:color w:val="000000"/>
          <w:kern w:val="0"/>
          <w:sz w:val="20"/>
          <w:szCs w:val="20"/>
          <w:lang w:eastAsia="en-IN"/>
          <w14:ligatures w14:val="none"/>
        </w:rPr>
        <w:t>Master Direction - Reserve Bank of India (Internal Ombudsman for Regulated Entities) Directions, 2023</w:t>
      </w:r>
    </w:p>
    <w:p w14:paraId="4CB87CD1"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The Reserve Bank institutionalized the Internal Ombudsman mechanism in various regulated entities vide instructions / guidelines contained in the </w:t>
      </w:r>
      <w:hyperlink r:id="rId42" w:tgtFrame="_blank" w:history="1">
        <w:r w:rsidRPr="000E190F">
          <w:rPr>
            <w:rFonts w:ascii="Arial" w:eastAsia="Times New Roman" w:hAnsi="Arial" w:cs="Arial"/>
            <w:color w:val="0000FF"/>
            <w:kern w:val="0"/>
            <w:sz w:val="20"/>
            <w:szCs w:val="20"/>
            <w:u w:val="single"/>
            <w:lang w:eastAsia="en-IN"/>
            <w14:ligatures w14:val="none"/>
          </w:rPr>
          <w:t>Internal Ombudsman Scheme 2018- Implementation by banks dated September 3, 2018</w:t>
        </w:r>
      </w:hyperlink>
      <w:r w:rsidRPr="000E190F">
        <w:rPr>
          <w:rFonts w:ascii="Arial" w:eastAsia="Times New Roman" w:hAnsi="Arial" w:cs="Arial"/>
          <w:color w:val="000000"/>
          <w:kern w:val="0"/>
          <w:sz w:val="20"/>
          <w:szCs w:val="20"/>
          <w:lang w:eastAsia="en-IN"/>
          <w14:ligatures w14:val="none"/>
        </w:rPr>
        <w:t>, Internal Ombudsman Scheme for Non-Bank System Participants, 2019 dated October 22, 2019, </w:t>
      </w:r>
      <w:hyperlink r:id="rId43" w:tgtFrame="_blank" w:history="1">
        <w:r w:rsidRPr="000E190F">
          <w:rPr>
            <w:rFonts w:ascii="Arial" w:eastAsia="Times New Roman" w:hAnsi="Arial" w:cs="Arial"/>
            <w:color w:val="0000FF"/>
            <w:kern w:val="0"/>
            <w:sz w:val="20"/>
            <w:szCs w:val="20"/>
            <w:u w:val="single"/>
            <w:lang w:eastAsia="en-IN"/>
            <w14:ligatures w14:val="none"/>
          </w:rPr>
          <w:t>Appointment of Internal Ombudsman by Non-Banking Financial Companies dated November 15, 2021</w:t>
        </w:r>
      </w:hyperlink>
      <w:r w:rsidRPr="000E190F">
        <w:rPr>
          <w:rFonts w:ascii="Arial" w:eastAsia="Times New Roman" w:hAnsi="Arial" w:cs="Arial"/>
          <w:color w:val="000000"/>
          <w:kern w:val="0"/>
          <w:sz w:val="20"/>
          <w:szCs w:val="20"/>
          <w:lang w:eastAsia="en-IN"/>
          <w14:ligatures w14:val="none"/>
        </w:rPr>
        <w:t> and </w:t>
      </w:r>
      <w:hyperlink r:id="rId44" w:tgtFrame="_blank" w:history="1">
        <w:r w:rsidRPr="000E190F">
          <w:rPr>
            <w:rFonts w:ascii="Arial" w:eastAsia="Times New Roman" w:hAnsi="Arial" w:cs="Arial"/>
            <w:color w:val="0000FF"/>
            <w:kern w:val="0"/>
            <w:sz w:val="20"/>
            <w:szCs w:val="20"/>
            <w:u w:val="single"/>
            <w:lang w:eastAsia="en-IN"/>
            <w14:ligatures w14:val="none"/>
          </w:rPr>
          <w:t>Reserve Bank of India (Credit Information Companies - Internal Ombudsman) Direction, 2022 dated October 6, 2022</w:t>
        </w:r>
      </w:hyperlink>
      <w:r w:rsidRPr="000E190F">
        <w:rPr>
          <w:rFonts w:ascii="Arial" w:eastAsia="Times New Roman" w:hAnsi="Arial" w:cs="Arial"/>
          <w:color w:val="000000"/>
          <w:kern w:val="0"/>
          <w:sz w:val="20"/>
          <w:szCs w:val="20"/>
          <w:lang w:eastAsia="en-IN"/>
          <w14:ligatures w14:val="none"/>
        </w:rPr>
        <w:t>. The Internal Ombudsman mechanism has been set up with a view to strengthen the Internal Grievance Redress system of the regulated entities.</w:t>
      </w:r>
    </w:p>
    <w:p w14:paraId="5C99409B"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2. A review of Internal Ombudsman schemes has been undertaken by the Reserve Bank in line with the integration of the erstwhile three RBI Ombudsman Schemes as also with the objective to improve the customer service standards in regulated entities. The framework reaffirms that the Internal Ombudsman mechanism should work as envisaged and the Internal Ombudsman shall be positioned as an independent, apex level authority on consumer grievance redress within the regulated entities.</w:t>
      </w:r>
    </w:p>
    <w:p w14:paraId="7E505C9C"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3. Accordingly, in exercise of the powers conferred by Section 35A of the Banking Regulation Act, 1949, Section 45L read with 45M of the Reserve Bank of India Act, 1934, sub-section (1) of Section 11 of Credit Information Companies (Regulation) Act, 2005 and Section 18 of the Payment and Settlement Systems Act, 2007, the Reserve Bank of India, being satisfied that it is necessary and expedient in public interest to do so, hereby directs that all the regulated entities as indicated in Clause 4 of the Master Direction shall comply with the Direction with immediate effect.</w:t>
      </w:r>
    </w:p>
    <w:p w14:paraId="6BFDD8DC"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4. The regulated entities are further advised as follows:</w:t>
      </w:r>
    </w:p>
    <w:p w14:paraId="04756A6F" w14:textId="77777777" w:rsidR="000E190F" w:rsidRPr="000E190F" w:rsidRDefault="000E190F" w:rsidP="000E190F">
      <w:pPr>
        <w:numPr>
          <w:ilvl w:val="0"/>
          <w:numId w:val="11"/>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The Internal Ombudsman appointed by the regulated entity, under the erstwhile Internal Ombudsman Schemes / Direction shall continue to hold office till the expiry of their tenure.</w:t>
      </w:r>
    </w:p>
    <w:p w14:paraId="2780D734" w14:textId="77777777" w:rsidR="000E190F" w:rsidRPr="000E190F" w:rsidRDefault="000E190F" w:rsidP="000E190F">
      <w:pPr>
        <w:numPr>
          <w:ilvl w:val="0"/>
          <w:numId w:val="11"/>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The regulated entities not currently falling under the Internal Ombudsman Schemes / Direction may closely monitor their eligibility as per the prescribed provisions for timely appointment of Internal Ombudsman in their entity, as required.</w:t>
      </w:r>
    </w:p>
    <w:p w14:paraId="14CCA62F" w14:textId="77777777" w:rsidR="000E190F" w:rsidRPr="000E190F" w:rsidRDefault="000E190F" w:rsidP="000E190F">
      <w:pPr>
        <w:numPr>
          <w:ilvl w:val="0"/>
          <w:numId w:val="11"/>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The regulated entities are advised to forward the contact details of the Internal Ombudsman / Deputy Internal Ombudsman to Consumer Education and Protection Department, Central Office, Reserve Bank of India, 1st Floor, Amar Building, Sir P M Road, Fort, Mumbai 400 001 (e-mail: </w:t>
      </w:r>
      <w:hyperlink r:id="rId45" w:history="1">
        <w:r w:rsidRPr="000E190F">
          <w:rPr>
            <w:rFonts w:ascii="Arial" w:eastAsia="Times New Roman" w:hAnsi="Arial" w:cs="Arial"/>
            <w:color w:val="0000FF"/>
            <w:kern w:val="0"/>
            <w:sz w:val="20"/>
            <w:szCs w:val="20"/>
            <w:u w:val="single"/>
            <w:lang w:eastAsia="en-IN"/>
            <w14:ligatures w14:val="none"/>
          </w:rPr>
          <w:t>iocepd@rbi.org.in</w:t>
        </w:r>
      </w:hyperlink>
      <w:r w:rsidRPr="000E190F">
        <w:rPr>
          <w:rFonts w:ascii="Arial" w:eastAsia="Times New Roman" w:hAnsi="Arial" w:cs="Arial"/>
          <w:color w:val="000000"/>
          <w:kern w:val="0"/>
          <w:sz w:val="20"/>
          <w:szCs w:val="20"/>
          <w:lang w:eastAsia="en-IN"/>
          <w14:ligatures w14:val="none"/>
        </w:rPr>
        <w:t>) and ensure to update the same as and when there is any change.</w:t>
      </w:r>
    </w:p>
    <w:p w14:paraId="0A1006B6" w14:textId="77777777" w:rsidR="000E190F" w:rsidRP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t>Yours faithfully,</w:t>
      </w:r>
    </w:p>
    <w:p w14:paraId="23DE18FC" w14:textId="77777777" w:rsidR="000E190F" w:rsidRPr="000E190F" w:rsidRDefault="000E190F" w:rsidP="001C128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E190F">
        <w:rPr>
          <w:rFonts w:ascii="Arial" w:eastAsia="Times New Roman" w:hAnsi="Arial" w:cs="Arial"/>
          <w:color w:val="000000"/>
          <w:kern w:val="0"/>
          <w:sz w:val="20"/>
          <w:szCs w:val="20"/>
          <w:lang w:eastAsia="en-IN"/>
          <w14:ligatures w14:val="none"/>
        </w:rPr>
        <w:lastRenderedPageBreak/>
        <w:t>(</w:t>
      </w:r>
      <w:proofErr w:type="spellStart"/>
      <w:r w:rsidRPr="000E190F">
        <w:rPr>
          <w:rFonts w:ascii="Arial" w:eastAsia="Times New Roman" w:hAnsi="Arial" w:cs="Arial"/>
          <w:color w:val="000000"/>
          <w:kern w:val="0"/>
          <w:sz w:val="20"/>
          <w:szCs w:val="20"/>
          <w:lang w:eastAsia="en-IN"/>
          <w14:ligatures w14:val="none"/>
        </w:rPr>
        <w:t>Neena</w:t>
      </w:r>
      <w:proofErr w:type="spellEnd"/>
      <w:r w:rsidRPr="000E190F">
        <w:rPr>
          <w:rFonts w:ascii="Arial" w:eastAsia="Times New Roman" w:hAnsi="Arial" w:cs="Arial"/>
          <w:color w:val="000000"/>
          <w:kern w:val="0"/>
          <w:sz w:val="20"/>
          <w:szCs w:val="20"/>
          <w:lang w:eastAsia="en-IN"/>
          <w14:ligatures w14:val="none"/>
        </w:rPr>
        <w:t xml:space="preserve"> </w:t>
      </w:r>
      <w:proofErr w:type="spellStart"/>
      <w:r w:rsidRPr="000E190F">
        <w:rPr>
          <w:rFonts w:ascii="Arial" w:eastAsia="Times New Roman" w:hAnsi="Arial" w:cs="Arial"/>
          <w:color w:val="000000"/>
          <w:kern w:val="0"/>
          <w:sz w:val="20"/>
          <w:szCs w:val="20"/>
          <w:lang w:eastAsia="en-IN"/>
          <w14:ligatures w14:val="none"/>
        </w:rPr>
        <w:t>Rohit</w:t>
      </w:r>
      <w:proofErr w:type="spellEnd"/>
      <w:r w:rsidRPr="000E190F">
        <w:rPr>
          <w:rFonts w:ascii="Arial" w:eastAsia="Times New Roman" w:hAnsi="Arial" w:cs="Arial"/>
          <w:color w:val="000000"/>
          <w:kern w:val="0"/>
          <w:sz w:val="20"/>
          <w:szCs w:val="20"/>
          <w:lang w:eastAsia="en-IN"/>
          <w14:ligatures w14:val="none"/>
        </w:rPr>
        <w:t xml:space="preserve"> Jain)</w:t>
      </w:r>
      <w:r w:rsidRPr="000E190F">
        <w:rPr>
          <w:rFonts w:ascii="Arial" w:eastAsia="Times New Roman" w:hAnsi="Arial" w:cs="Arial"/>
          <w:color w:val="000000"/>
          <w:kern w:val="0"/>
          <w:sz w:val="20"/>
          <w:szCs w:val="20"/>
          <w:lang w:eastAsia="en-IN"/>
          <w14:ligatures w14:val="none"/>
        </w:rPr>
        <w:br/>
        <w:t>Chief General Manager</w:t>
      </w:r>
    </w:p>
    <w:p w14:paraId="1A713D1D" w14:textId="1DDA07F9" w:rsidR="000E190F" w:rsidRDefault="000E190F"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0E190F">
        <w:rPr>
          <w:rFonts w:ascii="Arial" w:eastAsia="Times New Roman" w:hAnsi="Arial" w:cs="Arial"/>
          <w:color w:val="000000"/>
          <w:kern w:val="0"/>
          <w:sz w:val="20"/>
          <w:szCs w:val="20"/>
          <w:lang w:eastAsia="en-IN"/>
          <w14:ligatures w14:val="none"/>
        </w:rPr>
        <w:t>Encl</w:t>
      </w:r>
      <w:proofErr w:type="spellEnd"/>
      <w:r w:rsidRPr="000E190F">
        <w:rPr>
          <w:rFonts w:ascii="Arial" w:eastAsia="Times New Roman" w:hAnsi="Arial" w:cs="Arial"/>
          <w:color w:val="000000"/>
          <w:kern w:val="0"/>
          <w:sz w:val="20"/>
          <w:szCs w:val="20"/>
          <w:lang w:eastAsia="en-IN"/>
          <w14:ligatures w14:val="none"/>
        </w:rPr>
        <w:t>: Master Direction - Reserve Bank of India - (Internal Ombudsman for Regulated Entities) Directions, 2023</w:t>
      </w:r>
    </w:p>
    <w:p w14:paraId="4D9F0773" w14:textId="77777777" w:rsidR="00A71B1B" w:rsidRDefault="00A71B1B"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3563418" w14:textId="7572BBE4" w:rsidR="00057271" w:rsidRDefault="00057271"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bookmarkStart w:id="0" w:name="_GoBack"/>
      <w:bookmarkEnd w:id="0"/>
      <w:r w:rsidRPr="00057271">
        <w:rPr>
          <w:rFonts w:ascii="Arial" w:eastAsia="Times New Roman" w:hAnsi="Arial" w:cs="Arial"/>
          <w:color w:val="000000"/>
          <w:kern w:val="0"/>
          <w:sz w:val="20"/>
          <w:szCs w:val="20"/>
          <w:lang w:eastAsia="en-IN"/>
          <w14:ligatures w14:val="none"/>
        </w:rPr>
        <w:t>For more details, Kindly refer:</w:t>
      </w:r>
    </w:p>
    <w:p w14:paraId="50709CDE" w14:textId="549E98BC" w:rsidR="001C1285" w:rsidRDefault="00A71B1B"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46" w:history="1">
        <w:r w:rsidR="001C1285" w:rsidRPr="009F155A">
          <w:rPr>
            <w:rStyle w:val="Hyperlink"/>
            <w:rFonts w:ascii="Arial" w:eastAsia="Times New Roman" w:hAnsi="Arial" w:cs="Arial"/>
            <w:kern w:val="0"/>
            <w:sz w:val="20"/>
            <w:szCs w:val="20"/>
            <w:lang w:eastAsia="en-IN"/>
            <w14:ligatures w14:val="none"/>
          </w:rPr>
          <w:t>https://rbi.org.in/Scripts/NotificationUser.aspx?Id=12586&amp;Mode=0</w:t>
        </w:r>
      </w:hyperlink>
    </w:p>
    <w:p w14:paraId="25CC138B" w14:textId="77777777" w:rsidR="001C1285" w:rsidRPr="000E190F" w:rsidRDefault="001C1285" w:rsidP="000E190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607EF25" w14:textId="77777777" w:rsidR="000E190F" w:rsidRDefault="000E190F"/>
    <w:sectPr w:rsidR="000E1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57"/>
    <w:multiLevelType w:val="multilevel"/>
    <w:tmpl w:val="47CE3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131B27"/>
    <w:multiLevelType w:val="multilevel"/>
    <w:tmpl w:val="B9C2D9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4CE05D8"/>
    <w:multiLevelType w:val="multilevel"/>
    <w:tmpl w:val="A6C43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977555F"/>
    <w:multiLevelType w:val="multilevel"/>
    <w:tmpl w:val="D892E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697290"/>
    <w:multiLevelType w:val="multilevel"/>
    <w:tmpl w:val="B33CA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3313605"/>
    <w:multiLevelType w:val="multilevel"/>
    <w:tmpl w:val="4C7ED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14425EC"/>
    <w:multiLevelType w:val="multilevel"/>
    <w:tmpl w:val="F612C9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8CA69EE"/>
    <w:multiLevelType w:val="multilevel"/>
    <w:tmpl w:val="4BCEA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55B7700"/>
    <w:multiLevelType w:val="multilevel"/>
    <w:tmpl w:val="FFCE4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7EB81DB8"/>
    <w:multiLevelType w:val="multilevel"/>
    <w:tmpl w:val="816CB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9D"/>
    <w:rsid w:val="00057271"/>
    <w:rsid w:val="000E190F"/>
    <w:rsid w:val="001518B7"/>
    <w:rsid w:val="00172D1D"/>
    <w:rsid w:val="001C1285"/>
    <w:rsid w:val="001C3B05"/>
    <w:rsid w:val="00200153"/>
    <w:rsid w:val="00272E7F"/>
    <w:rsid w:val="002A7376"/>
    <w:rsid w:val="00456535"/>
    <w:rsid w:val="0049362F"/>
    <w:rsid w:val="004D6DF7"/>
    <w:rsid w:val="004E4F1D"/>
    <w:rsid w:val="005A604C"/>
    <w:rsid w:val="007C1BDC"/>
    <w:rsid w:val="00A0249D"/>
    <w:rsid w:val="00A71B1B"/>
    <w:rsid w:val="00CA0BE2"/>
    <w:rsid w:val="00EE1D06"/>
    <w:rsid w:val="00F312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EC42"/>
  <w15:chartTrackingRefBased/>
  <w15:docId w15:val="{A7CBE126-7629-4B03-9B8F-EF9F60CE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DF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D6DF7"/>
    <w:rPr>
      <w:color w:val="0000FF"/>
      <w:u w:val="single"/>
    </w:rPr>
  </w:style>
  <w:style w:type="paragraph" w:customStyle="1" w:styleId="head">
    <w:name w:val="head"/>
    <w:basedOn w:val="Normal"/>
    <w:rsid w:val="004D6DF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0E1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002">
      <w:bodyDiv w:val="1"/>
      <w:marLeft w:val="0"/>
      <w:marRight w:val="0"/>
      <w:marTop w:val="0"/>
      <w:marBottom w:val="0"/>
      <w:divBdr>
        <w:top w:val="none" w:sz="0" w:space="0" w:color="auto"/>
        <w:left w:val="none" w:sz="0" w:space="0" w:color="auto"/>
        <w:bottom w:val="none" w:sz="0" w:space="0" w:color="auto"/>
        <w:right w:val="none" w:sz="0" w:space="0" w:color="auto"/>
      </w:divBdr>
    </w:div>
    <w:div w:id="177357805">
      <w:bodyDiv w:val="1"/>
      <w:marLeft w:val="0"/>
      <w:marRight w:val="0"/>
      <w:marTop w:val="0"/>
      <w:marBottom w:val="0"/>
      <w:divBdr>
        <w:top w:val="none" w:sz="0" w:space="0" w:color="auto"/>
        <w:left w:val="none" w:sz="0" w:space="0" w:color="auto"/>
        <w:bottom w:val="none" w:sz="0" w:space="0" w:color="auto"/>
        <w:right w:val="none" w:sz="0" w:space="0" w:color="auto"/>
      </w:divBdr>
    </w:div>
    <w:div w:id="588579829">
      <w:bodyDiv w:val="1"/>
      <w:marLeft w:val="0"/>
      <w:marRight w:val="0"/>
      <w:marTop w:val="0"/>
      <w:marBottom w:val="0"/>
      <w:divBdr>
        <w:top w:val="none" w:sz="0" w:space="0" w:color="auto"/>
        <w:left w:val="none" w:sz="0" w:space="0" w:color="auto"/>
        <w:bottom w:val="none" w:sz="0" w:space="0" w:color="auto"/>
        <w:right w:val="none" w:sz="0" w:space="0" w:color="auto"/>
      </w:divBdr>
    </w:div>
    <w:div w:id="662509729">
      <w:bodyDiv w:val="1"/>
      <w:marLeft w:val="0"/>
      <w:marRight w:val="0"/>
      <w:marTop w:val="0"/>
      <w:marBottom w:val="0"/>
      <w:divBdr>
        <w:top w:val="none" w:sz="0" w:space="0" w:color="auto"/>
        <w:left w:val="none" w:sz="0" w:space="0" w:color="auto"/>
        <w:bottom w:val="none" w:sz="0" w:space="0" w:color="auto"/>
        <w:right w:val="none" w:sz="0" w:space="0" w:color="auto"/>
      </w:divBdr>
    </w:div>
    <w:div w:id="683242671">
      <w:bodyDiv w:val="1"/>
      <w:marLeft w:val="0"/>
      <w:marRight w:val="0"/>
      <w:marTop w:val="0"/>
      <w:marBottom w:val="0"/>
      <w:divBdr>
        <w:top w:val="none" w:sz="0" w:space="0" w:color="auto"/>
        <w:left w:val="none" w:sz="0" w:space="0" w:color="auto"/>
        <w:bottom w:val="none" w:sz="0" w:space="0" w:color="auto"/>
        <w:right w:val="none" w:sz="0" w:space="0" w:color="auto"/>
      </w:divBdr>
    </w:div>
    <w:div w:id="692658701">
      <w:bodyDiv w:val="1"/>
      <w:marLeft w:val="0"/>
      <w:marRight w:val="0"/>
      <w:marTop w:val="0"/>
      <w:marBottom w:val="0"/>
      <w:divBdr>
        <w:top w:val="none" w:sz="0" w:space="0" w:color="auto"/>
        <w:left w:val="none" w:sz="0" w:space="0" w:color="auto"/>
        <w:bottom w:val="none" w:sz="0" w:space="0" w:color="auto"/>
        <w:right w:val="none" w:sz="0" w:space="0" w:color="auto"/>
      </w:divBdr>
    </w:div>
    <w:div w:id="962736713">
      <w:bodyDiv w:val="1"/>
      <w:marLeft w:val="0"/>
      <w:marRight w:val="0"/>
      <w:marTop w:val="0"/>
      <w:marBottom w:val="0"/>
      <w:divBdr>
        <w:top w:val="none" w:sz="0" w:space="0" w:color="auto"/>
        <w:left w:val="none" w:sz="0" w:space="0" w:color="auto"/>
        <w:bottom w:val="none" w:sz="0" w:space="0" w:color="auto"/>
        <w:right w:val="none" w:sz="0" w:space="0" w:color="auto"/>
      </w:divBdr>
    </w:div>
    <w:div w:id="1060907585">
      <w:bodyDiv w:val="1"/>
      <w:marLeft w:val="0"/>
      <w:marRight w:val="0"/>
      <w:marTop w:val="0"/>
      <w:marBottom w:val="0"/>
      <w:divBdr>
        <w:top w:val="none" w:sz="0" w:space="0" w:color="auto"/>
        <w:left w:val="none" w:sz="0" w:space="0" w:color="auto"/>
        <w:bottom w:val="none" w:sz="0" w:space="0" w:color="auto"/>
        <w:right w:val="none" w:sz="0" w:space="0" w:color="auto"/>
      </w:divBdr>
    </w:div>
    <w:div w:id="1195001603">
      <w:bodyDiv w:val="1"/>
      <w:marLeft w:val="0"/>
      <w:marRight w:val="0"/>
      <w:marTop w:val="0"/>
      <w:marBottom w:val="0"/>
      <w:divBdr>
        <w:top w:val="none" w:sz="0" w:space="0" w:color="auto"/>
        <w:left w:val="none" w:sz="0" w:space="0" w:color="auto"/>
        <w:bottom w:val="none" w:sz="0" w:space="0" w:color="auto"/>
        <w:right w:val="none" w:sz="0" w:space="0" w:color="auto"/>
      </w:divBdr>
    </w:div>
    <w:div w:id="1195385678">
      <w:bodyDiv w:val="1"/>
      <w:marLeft w:val="0"/>
      <w:marRight w:val="0"/>
      <w:marTop w:val="0"/>
      <w:marBottom w:val="0"/>
      <w:divBdr>
        <w:top w:val="none" w:sz="0" w:space="0" w:color="auto"/>
        <w:left w:val="none" w:sz="0" w:space="0" w:color="auto"/>
        <w:bottom w:val="none" w:sz="0" w:space="0" w:color="auto"/>
        <w:right w:val="none" w:sz="0" w:space="0" w:color="auto"/>
      </w:divBdr>
    </w:div>
    <w:div w:id="1225796878">
      <w:bodyDiv w:val="1"/>
      <w:marLeft w:val="0"/>
      <w:marRight w:val="0"/>
      <w:marTop w:val="0"/>
      <w:marBottom w:val="0"/>
      <w:divBdr>
        <w:top w:val="none" w:sz="0" w:space="0" w:color="auto"/>
        <w:left w:val="none" w:sz="0" w:space="0" w:color="auto"/>
        <w:bottom w:val="none" w:sz="0" w:space="0" w:color="auto"/>
        <w:right w:val="none" w:sz="0" w:space="0" w:color="auto"/>
      </w:divBdr>
    </w:div>
    <w:div w:id="1331836235">
      <w:bodyDiv w:val="1"/>
      <w:marLeft w:val="0"/>
      <w:marRight w:val="0"/>
      <w:marTop w:val="0"/>
      <w:marBottom w:val="0"/>
      <w:divBdr>
        <w:top w:val="none" w:sz="0" w:space="0" w:color="auto"/>
        <w:left w:val="none" w:sz="0" w:space="0" w:color="auto"/>
        <w:bottom w:val="none" w:sz="0" w:space="0" w:color="auto"/>
        <w:right w:val="none" w:sz="0" w:space="0" w:color="auto"/>
      </w:divBdr>
    </w:div>
    <w:div w:id="1700206052">
      <w:bodyDiv w:val="1"/>
      <w:marLeft w:val="0"/>
      <w:marRight w:val="0"/>
      <w:marTop w:val="0"/>
      <w:marBottom w:val="0"/>
      <w:divBdr>
        <w:top w:val="none" w:sz="0" w:space="0" w:color="auto"/>
        <w:left w:val="none" w:sz="0" w:space="0" w:color="auto"/>
        <w:bottom w:val="none" w:sz="0" w:space="0" w:color="auto"/>
        <w:right w:val="none" w:sz="0" w:space="0" w:color="auto"/>
      </w:divBdr>
    </w:div>
    <w:div w:id="1817797416">
      <w:bodyDiv w:val="1"/>
      <w:marLeft w:val="0"/>
      <w:marRight w:val="0"/>
      <w:marTop w:val="0"/>
      <w:marBottom w:val="0"/>
      <w:divBdr>
        <w:top w:val="none" w:sz="0" w:space="0" w:color="auto"/>
        <w:left w:val="none" w:sz="0" w:space="0" w:color="auto"/>
        <w:bottom w:val="none" w:sz="0" w:space="0" w:color="auto"/>
        <w:right w:val="none" w:sz="0" w:space="0" w:color="auto"/>
      </w:divBdr>
    </w:div>
    <w:div w:id="1951934506">
      <w:bodyDiv w:val="1"/>
      <w:marLeft w:val="0"/>
      <w:marRight w:val="0"/>
      <w:marTop w:val="0"/>
      <w:marBottom w:val="0"/>
      <w:divBdr>
        <w:top w:val="none" w:sz="0" w:space="0" w:color="auto"/>
        <w:left w:val="none" w:sz="0" w:space="0" w:color="auto"/>
        <w:bottom w:val="none" w:sz="0" w:space="0" w:color="auto"/>
        <w:right w:val="none" w:sz="0" w:space="0" w:color="auto"/>
      </w:divBdr>
    </w:div>
    <w:div w:id="198496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Circulardetails.aspx?id=9902" TargetMode="External"/><Relationship Id="rId18" Type="http://schemas.openxmlformats.org/officeDocument/2006/relationships/hyperlink" Target="https://www.rbi.org.in/Scripts/BS_PressReleaseDisplay.aspx?prid=55473" TargetMode="External"/><Relationship Id="rId26" Type="http://schemas.openxmlformats.org/officeDocument/2006/relationships/hyperlink" Target="https://rbidocs.rbi.org.in/rdocs/content/pdfs/MFIDQI20092023_AN2.pdf" TargetMode="External"/><Relationship Id="rId39" Type="http://schemas.openxmlformats.org/officeDocument/2006/relationships/hyperlink" Target="https://www.rbi.org.in/Scripts/NotificationUser.aspx?Id=12527&amp;Mode=0" TargetMode="External"/><Relationship Id="rId21" Type="http://schemas.openxmlformats.org/officeDocument/2006/relationships/hyperlink" Target="https://rbi.org.in/Scripts/NotificationUser.aspx?Id=12535&amp;Mode=0" TargetMode="External"/><Relationship Id="rId34" Type="http://schemas.openxmlformats.org/officeDocument/2006/relationships/hyperlink" Target="https://rbidocs.rbi.org.in/rdocs/content/pdfs/73NT26102023_AN1.pdf" TargetMode="External"/><Relationship Id="rId42" Type="http://schemas.openxmlformats.org/officeDocument/2006/relationships/hyperlink" Target="https://www.rbi.org.in/Scripts/BS_PressReleaseDisplay.aspx?prid=44900" TargetMode="External"/><Relationship Id="rId47" Type="http://schemas.openxmlformats.org/officeDocument/2006/relationships/fontTable" Target="fontTable.xml"/><Relationship Id="rId7" Type="http://schemas.openxmlformats.org/officeDocument/2006/relationships/hyperlink" Target="https://rbi.org.in/Scripts/NotificationUser.aspx?Id=12525&amp;Mode=0" TargetMode="External"/><Relationship Id="rId2" Type="http://schemas.openxmlformats.org/officeDocument/2006/relationships/styles" Target="styles.xml"/><Relationship Id="rId16" Type="http://schemas.openxmlformats.org/officeDocument/2006/relationships/hyperlink" Target="https://rbi.org.in/Scripts/BS_ViewMasDirections.aspx?id=12030" TargetMode="External"/><Relationship Id="rId29" Type="http://schemas.openxmlformats.org/officeDocument/2006/relationships/hyperlink" Target="https://rbidocs.rbi.org.in/rdocs/content/pdfs/105MDAIFIS21092023.pdf" TargetMode="External"/><Relationship Id="rId1" Type="http://schemas.openxmlformats.org/officeDocument/2006/relationships/numbering" Target="numbering.xml"/><Relationship Id="rId6" Type="http://schemas.openxmlformats.org/officeDocument/2006/relationships/hyperlink" Target="https://rbi.org.in/Scripts/NotificationUser.aspx?Id=12525&amp;Mode=0" TargetMode="External"/><Relationship Id="rId11" Type="http://schemas.openxmlformats.org/officeDocument/2006/relationships/hyperlink" Target="https://rbi.org.in/Scripts/NotificationUser.aspx?Id=12527&amp;Mode=0" TargetMode="External"/><Relationship Id="rId24" Type="http://schemas.openxmlformats.org/officeDocument/2006/relationships/hyperlink" Target="https://www.rbi.org.in/Scripts/NotificationUser.aspx?Id=8968&amp;Mode=0" TargetMode="External"/><Relationship Id="rId32" Type="http://schemas.openxmlformats.org/officeDocument/2006/relationships/hyperlink" Target="https://rbi.org.in/Scripts/BS_PressReleaseDisplay.aspx?prid=55472" TargetMode="External"/><Relationship Id="rId37" Type="http://schemas.openxmlformats.org/officeDocument/2006/relationships/hyperlink" Target="https://www.rbi.org.in/Scripts/BS_ViewMasDirections.aspx?id=12166" TargetMode="External"/><Relationship Id="rId40" Type="http://schemas.openxmlformats.org/officeDocument/2006/relationships/hyperlink" Target="https://www.rbi.org.in/Scripts/FAQView.aspx?Id=162" TargetMode="External"/><Relationship Id="rId45" Type="http://schemas.openxmlformats.org/officeDocument/2006/relationships/hyperlink" Target="mailto:iocepd@rbi.org.in" TargetMode="External"/><Relationship Id="rId5" Type="http://schemas.openxmlformats.org/officeDocument/2006/relationships/hyperlink" Target="https://rbi.org.in/Scripts/BS_ViewMasCirculardetails.aspx?id=12288" TargetMode="External"/><Relationship Id="rId15" Type="http://schemas.openxmlformats.org/officeDocument/2006/relationships/hyperlink" Target="https://www.rbi.org.in/Scripts/BS_ViewMasDirections.aspx?id=10586" TargetMode="External"/><Relationship Id="rId23" Type="http://schemas.openxmlformats.org/officeDocument/2006/relationships/hyperlink" Target="https://rbi.org.in/Scripts/NotificationUser.aspx?Id=12536&amp;Mode=0" TargetMode="External"/><Relationship Id="rId28" Type="http://schemas.openxmlformats.org/officeDocument/2006/relationships/hyperlink" Target="https://rbi.org.in/Scripts/NotificationUser.aspx?Id=12537&amp;Mode=0" TargetMode="External"/><Relationship Id="rId36" Type="http://schemas.openxmlformats.org/officeDocument/2006/relationships/hyperlink" Target="https://rbi.org.in/Scripts/NotificationUser.aspx?Id=12553&amp;Mode=0" TargetMode="External"/><Relationship Id="rId10" Type="http://schemas.openxmlformats.org/officeDocument/2006/relationships/hyperlink" Target="https://rbi.org.in/Scripts/NotificationUser.aspx?Id=12527&amp;Mode=0" TargetMode="External"/><Relationship Id="rId19" Type="http://schemas.openxmlformats.org/officeDocument/2006/relationships/hyperlink" Target="https://rbi.org.in/Scripts/NotificationUser.aspx?Id=12532&amp;Mode=0" TargetMode="External"/><Relationship Id="rId31" Type="http://schemas.openxmlformats.org/officeDocument/2006/relationships/hyperlink" Target="https://rbi.org.in/Scripts/BS_PressReleaseDisplay.aspx?prid=55473" TargetMode="External"/><Relationship Id="rId44" Type="http://schemas.openxmlformats.org/officeDocument/2006/relationships/hyperlink" Target="https://www.rbi.org.in/Scripts/NotificationUser.aspx?Id=12395&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526&amp;Mode=0" TargetMode="External"/><Relationship Id="rId14" Type="http://schemas.openxmlformats.org/officeDocument/2006/relationships/hyperlink" Target="https://www.rbi.org.in/Scripts/BS_ViewMasDirections.aspx?id=10585" TargetMode="External"/><Relationship Id="rId22" Type="http://schemas.openxmlformats.org/officeDocument/2006/relationships/hyperlink" Target="https://pmvishwakarma.gov.in/FileHandling/ViewFile/MiscFiles%5CPM%20Vishwakarma-Guidelines.pdf" TargetMode="External"/><Relationship Id="rId27" Type="http://schemas.openxmlformats.org/officeDocument/2006/relationships/hyperlink" Target="https://rbi.org.in/Scripts/NotificationUser.aspx?Id=12537&amp;Mode=0" TargetMode="External"/><Relationship Id="rId30" Type="http://schemas.openxmlformats.org/officeDocument/2006/relationships/hyperlink" Target="https://rbi.org.in/Scripts/NotificationUser.aspx?Id=12538&amp;Mode=0" TargetMode="External"/><Relationship Id="rId35" Type="http://schemas.openxmlformats.org/officeDocument/2006/relationships/hyperlink" Target="https://rbi.org.in/Scripts/NotificationUser.aspx?Id=12553&amp;Mode=0" TargetMode="External"/><Relationship Id="rId43" Type="http://schemas.openxmlformats.org/officeDocument/2006/relationships/hyperlink" Target="https://www.rbi.org.in/Scripts/NotificationUser.aspx?Id=12195&amp;Mode=0" TargetMode="External"/><Relationship Id="rId48" Type="http://schemas.openxmlformats.org/officeDocument/2006/relationships/theme" Target="theme/theme1.xml"/><Relationship Id="rId8" Type="http://schemas.openxmlformats.org/officeDocument/2006/relationships/hyperlink" Target="https://rbi.org.in/Scripts/NotificationUser.aspx?Id=12526&amp;Mode=0" TargetMode="External"/><Relationship Id="rId3" Type="http://schemas.openxmlformats.org/officeDocument/2006/relationships/settings" Target="settings.xml"/><Relationship Id="rId12" Type="http://schemas.openxmlformats.org/officeDocument/2006/relationships/hyperlink" Target="https://rbi.org.in/Scripts/NotificationUser.aspx?Id=12529&amp;Mode=0" TargetMode="External"/><Relationship Id="rId17" Type="http://schemas.openxmlformats.org/officeDocument/2006/relationships/hyperlink" Target="https://rbi.org.in/Scripts/NotificationUser.aspx?Id=12529&amp;Mode=0" TargetMode="External"/><Relationship Id="rId25" Type="http://schemas.openxmlformats.org/officeDocument/2006/relationships/hyperlink" Target="https://rbidocs.rbi.org.in/rdocs/content/pdfs/CommercialDQI20092023_AN1.pdf" TargetMode="External"/><Relationship Id="rId33" Type="http://schemas.openxmlformats.org/officeDocument/2006/relationships/hyperlink" Target="https://rbidocs.rbi.org.in/rdocs/content/pdfs/73NT26102023_AN1.pdf" TargetMode="External"/><Relationship Id="rId38" Type="http://schemas.openxmlformats.org/officeDocument/2006/relationships/hyperlink" Target="https://rbi.org.in/Scripts/NotificationUser.aspx?Id=12582&amp;Mode=0" TargetMode="External"/><Relationship Id="rId46" Type="http://schemas.openxmlformats.org/officeDocument/2006/relationships/hyperlink" Target="https://rbi.org.in/Scripts/NotificationUser.aspx?Id=12586&amp;Mode=0" TargetMode="External"/><Relationship Id="rId20" Type="http://schemas.openxmlformats.org/officeDocument/2006/relationships/hyperlink" Target="https://rbi.org.in/Scripts/NotificationUser.aspx?Id=12535&amp;Mode=0" TargetMode="External"/><Relationship Id="rId41" Type="http://schemas.openxmlformats.org/officeDocument/2006/relationships/hyperlink" Target="https://rbi.org.in/Scripts/NotificationUser.aspx?Id=12585&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21</Pages>
  <Words>6023</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14</cp:revision>
  <dcterms:created xsi:type="dcterms:W3CDTF">2023-08-01T15:59:00Z</dcterms:created>
  <dcterms:modified xsi:type="dcterms:W3CDTF">2024-01-19T10:11:00Z</dcterms:modified>
</cp:coreProperties>
</file>